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Versicherung — Berufshaftpflicht Allianz, Eintragung im Anwaltsregister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08. Mai 2026</w:t>
      </w:r>
    </w:p>
    <w:p>
      <w:pPr>
        <w:jc w:val="left"/>
      </w:pPr>
      <w:r>
        <w:rPr>
          <w:b/>
        </w:rPr>
        <w:t>Verantwortlich:</w:t>
      </w:r>
      <w:r>
        <w:t xml:space="preserve"> Dr. Volker Sandhof</w:t>
      </w:r>
    </w:p>
    <w:p/>
    <w:p>
      <w:pPr>
        <w:pStyle w:val="Heading2"/>
      </w:pPr>
      <w:r>
        <w:rPr>
          <w:rFonts w:ascii="Times New Roman" w:hAnsi="Times New Roman"/>
        </w:rPr>
        <w:t>1. Abschluss der Berufshaftpflichtversicherung</w:t>
      </w:r>
    </w:p>
    <w:p>
      <w:pPr>
        <w:jc w:val="left"/>
      </w:pPr>
      <w:r>
        <w:t xml:space="preserve">Nach Vorauswahl (Aktenstück 05) hat die EFS-GmbH mit der </w:t>
      </w:r>
      <w:r>
        <w:rPr>
          <w:b/>
        </w:rPr>
        <w:t>Allianz Versicherungs-AG</w:t>
      </w:r>
      <w:r>
        <w:t xml:space="preserve"> eine Berufshaftpflichtversicherung abgeschlossen.</w:t>
      </w:r>
    </w:p>
    <w:p>
      <w:pPr>
        <w:pStyle w:val="Heading3"/>
      </w:pPr>
      <w:r>
        <w:rPr>
          <w:rFonts w:ascii="Times New Roman" w:hAnsi="Times New Roman"/>
        </w:rPr>
        <w:t>Polizze-Details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Versicherungsnehmer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Eckermann Friedrich Sandhof Rechtsanwaltsgesellschaft 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Berufshaftpflicht nach § 59j BRAO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Polizzennummer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10-12-345678-9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Versicherungsbeginn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 Mai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Versicherungsende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 April 2027 (automatische Verlängerung)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Deckungssumme je Schadensfall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2.500.000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Jahresmaximum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Selbstbehalt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2.500 EUR je Schadensfall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Jahresprämie (netto)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8.400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Jährlich im Voraus (30. April)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Deckungsbestätigung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 RAK Aachen übermittelt (30.04.2026)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Mitversicherte Personen</w:t>
      </w:r>
    </w:p>
    <w:p>
      <w:pPr>
        <w:jc w:val="left"/>
      </w:pPr>
      <w:r>
        <w:t>Die Allianz-Police erstreckt sich auf:</w:t>
      </w:r>
    </w:p>
    <w:p>
      <w:pPr>
        <w:pStyle w:val="ListBullet"/>
      </w:pPr>
      <w:r>
        <w:t>Alle Geschäftsführer (Dr. Eckermann, Dr. Friedrich, Dr. Sandhof)</w:t>
      </w:r>
    </w:p>
    <w:p>
      <w:pPr>
        <w:pStyle w:val="ListBullet"/>
      </w:pPr>
      <w:r>
        <w:t>Alle bei der EFS-GmbH tätigen Rechtsanwältinnen und Rechtsanwälte (angestellt)</w:t>
      </w:r>
    </w:p>
    <w:p>
      <w:pPr>
        <w:pStyle w:val="ListBullet"/>
      </w:pPr>
      <w:r>
        <w:t>Mitarbeiter bei Tätigkeit im Rahmen ihrer Dienstpflichten</w:t>
      </w:r>
    </w:p>
    <w:p>
      <w:pPr>
        <w:jc w:val="left"/>
      </w:pPr>
      <w:r>
        <w:t>Die Mitversicherung der angestellten Rechtsanwältin (MA 1) und des angestellten Rechtsanwalts (MA 5) ist ausdrücklich in den Versicherungsbedingungen vorgesehen.</w:t>
      </w:r>
    </w:p>
    <w:p/>
    <w:p>
      <w:pPr>
        <w:pStyle w:val="Heading2"/>
      </w:pPr>
      <w:r>
        <w:rPr>
          <w:rFonts w:ascii="Times New Roman" w:hAnsi="Times New Roman"/>
        </w:rPr>
        <w:t>2. Zusatzversicherungen</w:t>
      </w:r>
    </w:p>
    <w:p>
      <w:pPr>
        <w:pStyle w:val="Heading3"/>
      </w:pPr>
      <w:r>
        <w:rPr>
          <w:rFonts w:ascii="Times New Roman" w:hAnsi="Times New Roman"/>
        </w:rPr>
        <w:t>D&amp;O-Versicherung (Directors &amp; Officers)</w:t>
      </w:r>
    </w:p>
    <w:p>
      <w:pPr>
        <w:jc w:val="left"/>
      </w:pPr>
      <w:r>
        <w:t>Für die Geschäftsführer wurde zusätzlich eine D&amp;O-Versicherung (Allianz Manager-Haftpflicht) abgeschlossen: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Deckungssumme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2.000.000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Jahresprämie (netto)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Selbstbehalt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10 % je Schadensfall, mindestens 3.500 EUR</w:t>
            </w:r>
          </w:p>
        </w:tc>
      </w:tr>
    </w:tbl>
    <w:p>
      <w:pPr>
        <w:jc w:val="left"/>
      </w:pPr>
      <w:r>
        <w:t>Die D&amp;O-Versicherung deckt Schadensersatzansprüche der Gesellschaft oder Dritter gegen die Geschäftsführer wegen Pflichtverletzungen bei der Unternehmensführung (§ 43 GmbHG).</w:t>
      </w:r>
    </w:p>
    <w:p>
      <w:pPr>
        <w:pStyle w:val="Heading3"/>
      </w:pPr>
      <w:r>
        <w:rPr>
          <w:rFonts w:ascii="Times New Roman" w:hAnsi="Times New Roman"/>
        </w:rPr>
        <w:t>Cyber-Versicherung</w:t>
      </w:r>
    </w:p>
    <w:p>
      <w:pPr>
        <w:jc w:val="left"/>
      </w:pPr>
      <w:r>
        <w:t>Aufgrund der Sensibilität der Mandantendaten und der IT-Infrastruktur wurde eine Cyber-Risikoversicherung bei der Allianz abgeschlossen: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Deckungssumme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Jahresprämie (netto)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Leistungen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Datenwiederherstellung, Betriebsunterbrechung, Krisenmanagement, Rechtsberatung nach Datenpanne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StB-Haftpflicht Sandhof</w:t>
      </w:r>
    </w:p>
    <w:p>
      <w:pPr>
        <w:jc w:val="left"/>
      </w:pPr>
      <w:r>
        <w:t>Die Zürich Insurance Group deckt die steuerberatende Tätigkeit von Dr. Sandhof (separate Polizze für StB-Sphäre, da § 59j BRAO nur RA-Tätigkeit erfasst):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Berufshaftpflicht StB nach § 67 StBerG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Deckungssumme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1.000.000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Jahresprämie (netto)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1.800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Gesamtversicherungskosten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Versicherung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Jahresprämie (netto)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Berufshaftpflicht RA (Allianz)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8.400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D&amp;O (Allianz)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Cyber (Allianz)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Berufshaftpflicht StB Sandhof (Zürich)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Inhaltsversicherung Kanzlei (HDI)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Rechtsschutzversicherung (Allianz)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14.700 EUR/Jahr (netto)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Eintragung im Anwaltsregister</w:t>
      </w:r>
    </w:p>
    <w:p>
      <w:pPr>
        <w:jc w:val="left"/>
      </w:pPr>
      <w:r>
        <w:t>Nach § 31 BRAO führt die RAK Aachen das Anwaltsregister. Die EFS-GmbH und ihre Geschäftsführer sind wie folgt eingetragen: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Person/Einheit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Registernummer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Eintragungsdatum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EFS Rechtsanwaltsgesellschaft 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RAC-GmbH-00043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Hilke Eckermann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RAK-AC-2009-1127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Matthias Friedrich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RAK-AC-2007-0832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Volker Sandhof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RAK-AC-2011-1544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Anja Kliesch (angestellt)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RAK-AC-2024-2301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Bastian Kuhr (angestellt)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RAK-AC-2021-1988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01.05.2026</w:t>
            </w:r>
          </w:p>
        </w:tc>
      </w:tr>
    </w:tbl>
    <w:p>
      <w:pPr>
        <w:jc w:val="left"/>
      </w:pPr>
      <w:r>
        <w:t>Die Eintragung der angestellten Rechtsanwälte erfolgte nach Anzeige der Beschäftigung gemäß § 56 BRAO.</w:t>
      </w:r>
    </w:p>
    <w:p>
      <w:pPr>
        <w:jc w:val="left"/>
      </w:pPr>
      <w:r>
        <w:t>Die Deckungsbestätigung der Allianz wurde zusammen mit dem Zulassungsantrag eingereicht (Aktenstück 08) und akzeptiert.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BRAO § 59j (Berufshaftpflicht RA-GmbH): dejure.org/gesetze/BRAO/59j</w:t>
      </w:r>
    </w:p>
    <w:p>
      <w:pPr>
        <w:pStyle w:val="ListBullet"/>
      </w:pPr>
      <w:r>
        <w:t>BRAO § 31 (Anwaltsregister): dejure.org/gesetze/BRAO/31</w:t>
      </w:r>
    </w:p>
    <w:p>
      <w:pPr>
        <w:pStyle w:val="ListBullet"/>
      </w:pPr>
      <w:r>
        <w:t>BRAO § 56 (Anzeigepflicht): dejure.org/gesetze/BRAO/56</w:t>
      </w:r>
    </w:p>
    <w:p>
      <w:pPr>
        <w:pStyle w:val="ListBullet"/>
      </w:pPr>
      <w:r>
        <w:t>StBerG § 67 (Berufshaftpflicht Steuerberater): dejure.org/gesetze/StBerG</w:t>
      </w:r>
    </w:p>
    <w:p>
      <w:pPr>
        <w:pStyle w:val="ListBullet"/>
      </w:pPr>
      <w:r>
        <w:t>GmbHG § 43 (Geschäftsführerhaftung): dejure.org/gesetze/GmbHG/43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