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21 Chronologie des Kanzleigründungsprozesses</w:t>
      </w:r>
    </w:p>
    <w:p>
      <w:pPr>
        <w:jc w:val="left"/>
      </w:pPr>
      <w:r>
        <w:rPr>
          <w:b/>
        </w:rPr>
        <w:t>Aktenzeichen:</w:t>
      </w:r>
      <w:r>
        <w:t xml:space="preserve"> KBH-2026-001-EFS</w:t>
      </w:r>
    </w:p>
    <w:p>
      <w:pPr>
        <w:jc w:val="left"/>
      </w:pPr>
      <w:r>
        <w:rPr>
          <w:b/>
        </w:rPr>
        <w:t>Stand:</w:t>
      </w:r>
      <w:r>
        <w:t xml:space="preserve"> 08. Mai 2026</w:t>
      </w:r>
    </w:p>
    <w:p>
      <w:pPr>
        <w:jc w:val="left"/>
      </w:pPr>
      <w:r>
        <w:rPr>
          <w:b/>
        </w:rPr>
        <w:t>Bearbeiter:</w:t>
      </w:r>
      <w:r>
        <w:t xml:space="preserve"> Alle Beteiligten</w:t>
      </w:r>
    </w:p>
    <w:p/>
    <w:p>
      <w:pPr>
        <w:pStyle w:val="Heading2"/>
      </w:pPr>
      <w:r>
        <w:rPr>
          <w:rFonts w:ascii="Times New Roman" w:hAnsi="Times New Roman"/>
        </w:rPr>
        <w:t>Zeitstrahl Kanzleigründung EFS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Datum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Meilenstein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Beteiligte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Status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November 2025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Gründungsidee beim Aachener Anwaltsnetzwerktreffen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Eckermann, Friedrich, 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 Februar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E-Mail Eckermann an Friedrich und Sandhof: "Startsignal Kanzleikonzept"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Eckermann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17. Februar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Erstgespräch bei Kanzlei Hellwig &amp; Partner, Köln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drei, 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 Februar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Beteiligte-Dokumentation und Gesellschaftsidee (Aktenstück 02)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 Februar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Sandhof: Rückmeldung Konkurrenzklausel-Prüfung (keine Klausel)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Rechtsformwahl-Memo abgeschlossen; RA-GmbH empfohlen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RAK Aachen: Voranfrage eingereicht; Merkblatt erhalten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Hellwig/RAK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10.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Partnerentscheidung: RA-GmbH; Mandat an Notar Küppers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drei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Allianz: Angebot Berufshaftpflicht erhalten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Gesellschaftsvertrag-Verhandlung: Hybridmodell Gewinnverteilung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drei, 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Steuerliche Strukturierung abgeschlossen (Sandhof/Kallenbrunner)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20.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Gesellschaftsvertragsentwurf finalisiert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Versicherungsvergleich abgeschlossen; Allianz ausgewählt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Markenanmeldung "EFS Recht" beim DPMA (Az. 30 2026 123 456)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Notartermin Dr. Küppers: Beurkundung Gesellschaftsvertrag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drei, Notar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 März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Gesellschafterverträge für drei GF unterzeichnet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drei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Betriebsübergangsunterrichtung 12 Mitarbeiter versandt (§ 613a Abs. 5 BGB)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RAK-Zulassungsantrag gestellt (ohne HR-Auszug)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02.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Widerspruchsschreiben EFS Kanzlei Stuttgart (Marke)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Brecker/Stuttgart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 (in Bearb.)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Übernahmebestätigungen (§ 613a BGB) an 12 MA versandt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Eckermann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14.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Handelsregistereintragung bestätigt (HRB 28877, AG Aachen)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Amtsgericht Aachen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15.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RAK Nachforderungsschreiben: HR-Auszug und Mietvertrag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RAK Aachen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Entscheidung für RA-Micro als Kanzleisoftware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Friedrich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18.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HR-Auszug an RAK übermittelt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 Pontstraße 88 unterzeichnet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Eckermann/Dörsam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Mietvertrag an RAK übermittelt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Abmahnung an Domains4Fun wegen efs-recht.de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Schlüsselübergabe Pontstraße 88; Beginn Umbau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25.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Allianz: Vorläufige Deckungsbestätigung an RAK übermittelt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28.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beA- und RA-Micro-Schulung aller Mitarbeiter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Friedrich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GwG- und DSGVO-Schulung alle Mitarbeiter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Sandhof/DSB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29.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Domains4Fun: Cybersquatter-Angebot 8.500 EUR abgelehnt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RAK Aachen: Zulassungsbescheid Az. RAC 2026/00188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RAK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30. April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Allianz: Berufshaftpflichtpolizze 10-12-345678-9 wirksam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Allianz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Kanzleieröffnung EFS Rechtsanwaltsgesellschaft 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Widerspruchsfrist Betriebsübergang abgelaufen (kein Widerspruch)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 12 MA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01.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Eröffnungsempfang Pontstraße 88, ca. 80 Gäste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Erledigt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05.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DENIC-Dispute beantragt (efs-recht.de)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Hellwig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Bearb.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08. Mai 2026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Erster Monatsbericht Finanzen (Sandhof)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Sandhof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In Bearb.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Ausstehende Punkte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Thema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Maßnahme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b/>
                <w:sz w:val="20"/>
              </w:rPr>
              <w:t>Frist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Domainstreit efs-recht.de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Einstweilige Verfügung LG Aachen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30.06.2026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Markenkonflikt EFS Stuttgart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Koexistenzvereinbarungsverhandlung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Bis 31.07.2026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DPMA-Bescheid Marke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Abwarten; ggf. Stellungnahme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Nach DPMA-Rückmeldung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StBK Köln: Erweiterung Sandhof auf EFS-GmbH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Antrag gestellt 02.05.2026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ca. 30.05.2026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DSFA abschließen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SecureData GmbH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31.05.2026</w:t>
            </w:r>
          </w:p>
        </w:tc>
      </w:tr>
      <w:tr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bAV-Konzept alle Mitarbeiter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Prüfung Direktversicherung</w:t>
            </w:r>
          </w:p>
        </w:tc>
        <w:tc>
          <w:tcPr>
            <w:tcW w:type="dxa" w:w="3024"/>
          </w:tcPr>
          <w:p>
            <w:r>
              <w:rPr>
                <w:rFonts w:ascii="Times New Roman" w:hAnsi="Times New Roman"/>
                <w:sz w:val="20"/>
              </w:rPr>
              <w:t>30.06.2026</w:t>
            </w:r>
          </w:p>
        </w:tc>
      </w:tr>
    </w:tbl>
    <w:p/>
    <w:p>
      <w:pPr>
        <w:pStyle w:val="Heading2"/>
      </w:pPr>
      <w:r>
        <w:rPr>
          <w:rFonts w:ascii="Times New Roman" w:hAnsi="Times New Roman"/>
        </w:rPr>
        <w:t>Quellen</w:t>
      </w:r>
    </w:p>
    <w:p>
      <w:pPr>
        <w:pStyle w:val="ListBullet"/>
      </w:pPr>
      <w:r>
        <w:t>BRAO § 59h (Zulassung): dejure.org/gesetze/BRAO/59h</w:t>
      </w:r>
    </w:p>
    <w:p>
      <w:pPr>
        <w:pStyle w:val="ListBullet"/>
      </w:pPr>
      <w:r>
        <w:t>HGB § 8 (Handelsregistereintragung): dejure.org/gesetze/HGB</w:t>
      </w:r>
    </w:p>
    <w:p>
      <w:pPr>
        <w:pStyle w:val="ListBullet"/>
      </w:pPr>
      <w:r>
        <w:t>GmbHG § 11 (Entstehung der GmbH): dejure.org/gesetze/GmbHG/11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