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22 Abschluss — Eröffnungstag der Kanzlei EFS</w:t>
      </w:r>
    </w:p>
    <w:p>
      <w:pPr>
        <w:jc w:val="left"/>
      </w:pPr>
      <w:r>
        <w:rPr>
          <w:b/>
        </w:rPr>
        <w:t>Aktenzeichen:</w:t>
      </w:r>
      <w:r>
        <w:t xml:space="preserve"> KBH-2026-001-EFS</w:t>
      </w:r>
    </w:p>
    <w:p>
      <w:pPr>
        <w:jc w:val="left"/>
      </w:pPr>
      <w:r>
        <w:rPr>
          <w:b/>
        </w:rPr>
        <w:t>Stand:</w:t>
      </w:r>
      <w:r>
        <w:t xml:space="preserve"> 09. Mai 2026</w:t>
      </w:r>
    </w:p>
    <w:p>
      <w:pPr>
        <w:jc w:val="left"/>
      </w:pPr>
      <w:r>
        <w:rPr>
          <w:b/>
        </w:rPr>
        <w:t>Verfasser:</w:t>
      </w:r>
      <w:r>
        <w:t xml:space="preserve"> Dr. Hilke Eckermann</w:t>
      </w:r>
    </w:p>
    <w:p/>
    <w:p>
      <w:pPr>
        <w:pStyle w:val="Heading2"/>
      </w:pPr>
      <w:r>
        <w:rPr>
          <w:rFonts w:ascii="Times New Roman" w:hAnsi="Times New Roman"/>
        </w:rPr>
        <w:t>1. Der Eröffnungstag — 01. Mai 2026</w:t>
      </w:r>
    </w:p>
    <w:p>
      <w:pPr>
        <w:jc w:val="left"/>
      </w:pPr>
      <w:r>
        <w:t>Der 01. Mai 2026 markierte den offiziellen Gründungstag der Eckermann Friedrich Sandhof Rechtsanwaltsgesellschaft mbH. Das Büro in der Pontstraße 88 empfing an diesem Tag ab 16:00 Uhr rund 85 geladene Gäste zum Eröffnungsempfang.</w:t>
      </w:r>
    </w:p>
    <w:p>
      <w:pPr>
        <w:pStyle w:val="Heading3"/>
      </w:pPr>
      <w:r>
        <w:rPr>
          <w:rFonts w:ascii="Times New Roman" w:hAnsi="Times New Roman"/>
        </w:rPr>
        <w:t>Atmosphäre und Ablauf</w:t>
      </w:r>
    </w:p>
    <w:p>
      <w:pPr>
        <w:jc w:val="left"/>
      </w:pPr>
      <w:r>
        <w:t>Das kernsanierte Gründerzeitbüro mit seinen hohen Decken und der historischen Stuckverzierung bot einen stimmungsvollen Rahmen. Die drei Partner hatten die acht Einzelbüros und den großen Besprechungsraum für die Feier geöffnet. Catering übernahm das Café Metropol Aachen mit Sekt, Orangensaft, Fingerfood und einem festlichen Buffet.</w:t>
      </w:r>
    </w:p>
    <w:p>
      <w:pPr>
        <w:jc w:val="left"/>
      </w:pPr>
      <w:r>
        <w:rPr>
          <w:b/>
        </w:rPr>
        <w:t>Ablauf:</w:t>
      </w:r>
    </w:p>
    <w:p>
      <w:pPr>
        <w:pStyle w:val="ListBullet"/>
      </w:pPr>
      <w:r>
        <w:t>16:00 Uhr: Einlass, informeller Empfang</w:t>
      </w:r>
    </w:p>
    <w:p>
      <w:pPr>
        <w:pStyle w:val="ListBullet"/>
      </w:pPr>
      <w:r>
        <w:t>17:00 Uhr: Begrüßungsrede Dr. Friedrich als Sprecher der Kanzlei</w:t>
      </w:r>
    </w:p>
    <w:p>
      <w:pPr>
        <w:pStyle w:val="ListBullet"/>
      </w:pPr>
      <w:r>
        <w:t>17:15 Uhr: Grußwort Präsident der RAK Aachen, RA Burkhard Steins</w:t>
      </w:r>
    </w:p>
    <w:p>
      <w:pPr>
        <w:pStyle w:val="ListBullet"/>
      </w:pPr>
      <w:r>
        <w:t>17:30 Uhr: Kurzpräsentation Kanzleiprofil EFS (10 Min.)</w:t>
      </w:r>
    </w:p>
    <w:p>
      <w:pPr>
        <w:pStyle w:val="ListBullet"/>
      </w:pPr>
      <w:r>
        <w:t>17:45 Uhr: Anstoßen mit Sekt</w:t>
      </w:r>
    </w:p>
    <w:p>
      <w:pPr>
        <w:pStyle w:val="ListBullet"/>
      </w:pPr>
      <w:r>
        <w:t>18:00 – 20:00 Uhr: Networking, Kanzleirundgang</w:t>
      </w:r>
    </w:p>
    <w:p/>
    <w:p>
      <w:pPr>
        <w:pStyle w:val="Heading2"/>
      </w:pPr>
      <w:r>
        <w:rPr>
          <w:rFonts w:ascii="Times New Roman" w:hAnsi="Times New Roman"/>
        </w:rPr>
        <w:t>2. Gäste</w:t>
      </w:r>
    </w:p>
    <w:p>
      <w:pPr>
        <w:jc w:val="left"/>
      </w:pPr>
      <w:r>
        <w:t>Folgende Gruppen waren vertreten:</w:t>
      </w:r>
    </w:p>
    <w:p>
      <w:pPr>
        <w:pStyle w:val="ListBullet"/>
      </w:pPr>
      <w:r>
        <w:t>Mandanten aller drei Vorgängerkanzleien</w:t>
      </w:r>
    </w:p>
    <w:p>
      <w:pPr>
        <w:pStyle w:val="ListBullet"/>
      </w:pPr>
      <w:r>
        <w:t>Vertreterinnen und Vertreter der RAK Aachen (Präsident, Hauptgeschäftsführer)</w:t>
      </w:r>
    </w:p>
    <w:p>
      <w:pPr>
        <w:pStyle w:val="ListBullet"/>
      </w:pPr>
      <w:r>
        <w:t>Notar Dr. Küppers und sein Büro</w:t>
      </w:r>
    </w:p>
    <w:p>
      <w:pPr>
        <w:pStyle w:val="ListBullet"/>
      </w:pPr>
      <w:r>
        <w:t>Steuerberater Prof. Dr. Kallenbrunner</w:t>
      </w:r>
    </w:p>
    <w:p>
      <w:pPr>
        <w:pStyle w:val="ListBullet"/>
      </w:pPr>
      <w:r>
        <w:t>Richter des Arbeitsgerichts Aachen, Sozialgerichts Aachen und Finanzgerichts Köln (privat eingeladen)</w:t>
      </w:r>
    </w:p>
    <w:p>
      <w:pPr>
        <w:pStyle w:val="ListBullet"/>
      </w:pPr>
      <w:r>
        <w:t>Lokalprominenz aus dem Aachener Anwaltsnetzwerk</w:t>
      </w:r>
    </w:p>
    <w:p>
      <w:pPr>
        <w:pStyle w:val="ListBullet"/>
      </w:pPr>
      <w:r>
        <w:t>Vertreterinnen und Vertreter der Lokalmedien (Aachener Zeitung, Aachener Nachrichten)</w:t>
      </w:r>
    </w:p>
    <w:p/>
    <w:p>
      <w:pPr>
        <w:pStyle w:val="Heading2"/>
      </w:pPr>
      <w:r>
        <w:rPr>
          <w:rFonts w:ascii="Times New Roman" w:hAnsi="Times New Roman"/>
        </w:rPr>
        <w:t>3. Presseecho</w:t>
      </w:r>
    </w:p>
    <w:p>
      <w:pPr>
        <w:jc w:val="left"/>
      </w:pPr>
      <w:r>
        <w:t>Die Aachener Zeitung berichtete am 04. Mai 2026 unter der Überschrift: "Neue Spezialkanzlei in der Pontstraße — EFS setzt auf Dreierspezialgebiet Sozial-, Arbeits- und Steuerrecht". Der Artikel erwähnte die Doppelqualifikation Sandhofs als Besonderheit und das Kanzleiprofil der Euregio-Ausrichtung.</w:t>
      </w:r>
    </w:p>
    <w:p/>
    <w:p>
      <w:pPr>
        <w:pStyle w:val="Heading2"/>
      </w:pPr>
      <w:r>
        <w:rPr>
          <w:rFonts w:ascii="Times New Roman" w:hAnsi="Times New Roman"/>
        </w:rPr>
        <w:t>4. Erste Mandatsanfragen ab 02. Mai 2026</w:t>
      </w:r>
    </w:p>
    <w:p>
      <w:pPr>
        <w:jc w:val="left"/>
      </w:pPr>
      <w:r>
        <w:t>Der erste reguläre Kanzleibetrieb startete am 02. Mai 2026. In der ersten Woche gingen folgende Mandatsanfragen ein: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Art des Mandats</w:t>
            </w:r>
          </w:p>
        </w:tc>
        <w:tc>
          <w:tcPr>
            <w:tcW w:type="dxa" w:w="3024"/>
          </w:tcPr>
          <w:p>
            <w:r>
              <w:rPr>
                <w:rFonts w:ascii="Times New Roman" w:hAnsi="Times New Roman"/>
                <w:b/>
                <w:sz w:val="20"/>
              </w:rPr>
              <w:t>Zugewiesener Partner</w:t>
            </w:r>
          </w:p>
        </w:tc>
      </w:tr>
      <w:tr>
        <w:tc>
          <w:tcPr>
            <w:tcW w:type="dxa" w:w="3024"/>
          </w:tcPr>
          <w:p>
            <w:r>
              <w:rPr>
                <w:rFonts w:ascii="Times New Roman" w:hAnsi="Times New Roman"/>
                <w:sz w:val="20"/>
              </w:rPr>
              <w:t>02.05.2026</w:t>
            </w:r>
          </w:p>
        </w:tc>
        <w:tc>
          <w:tcPr>
            <w:tcW w:type="dxa" w:w="3024"/>
          </w:tcPr>
          <w:p>
            <w:r>
              <w:rPr>
                <w:rFonts w:ascii="Times New Roman" w:hAnsi="Times New Roman"/>
                <w:sz w:val="20"/>
              </w:rPr>
              <w:t>GmbH-Geschäftsführer: Sozialversicherungspflicht-Prüfung</w:t>
            </w:r>
          </w:p>
        </w:tc>
        <w:tc>
          <w:tcPr>
            <w:tcW w:type="dxa" w:w="3024"/>
          </w:tcPr>
          <w:p>
            <w:r>
              <w:rPr>
                <w:rFonts w:ascii="Times New Roman" w:hAnsi="Times New Roman"/>
                <w:sz w:val="20"/>
              </w:rPr>
              <w:t>Eckermann + Sandhof</w:t>
            </w:r>
          </w:p>
        </w:tc>
      </w:tr>
      <w:tr>
        <w:tc>
          <w:tcPr>
            <w:tcW w:type="dxa" w:w="3024"/>
          </w:tcPr>
          <w:p>
            <w:r>
              <w:rPr>
                <w:rFonts w:ascii="Times New Roman" w:hAnsi="Times New Roman"/>
                <w:sz w:val="20"/>
              </w:rPr>
              <w:t>02.05.2026</w:t>
            </w:r>
          </w:p>
        </w:tc>
        <w:tc>
          <w:tcPr>
            <w:tcW w:type="dxa" w:w="3024"/>
          </w:tcPr>
          <w:p>
            <w:r>
              <w:rPr>
                <w:rFonts w:ascii="Times New Roman" w:hAnsi="Times New Roman"/>
                <w:sz w:val="20"/>
              </w:rPr>
              <w:t>Betriebsratsgründung Logistikzentrum (Großmandat Übertrag)</w:t>
            </w:r>
          </w:p>
        </w:tc>
        <w:tc>
          <w:tcPr>
            <w:tcW w:type="dxa" w:w="3024"/>
          </w:tcPr>
          <w:p>
            <w:r>
              <w:rPr>
                <w:rFonts w:ascii="Times New Roman" w:hAnsi="Times New Roman"/>
                <w:sz w:val="20"/>
              </w:rPr>
              <w:t>Friedrich</w:t>
            </w:r>
          </w:p>
        </w:tc>
      </w:tr>
      <w:tr>
        <w:tc>
          <w:tcPr>
            <w:tcW w:type="dxa" w:w="3024"/>
          </w:tcPr>
          <w:p>
            <w:r>
              <w:rPr>
                <w:rFonts w:ascii="Times New Roman" w:hAnsi="Times New Roman"/>
                <w:sz w:val="20"/>
              </w:rPr>
              <w:t>03.05.2026</w:t>
            </w:r>
          </w:p>
        </w:tc>
        <w:tc>
          <w:tcPr>
            <w:tcW w:type="dxa" w:w="3024"/>
          </w:tcPr>
          <w:p>
            <w:r>
              <w:rPr>
                <w:rFonts w:ascii="Times New Roman" w:hAnsi="Times New Roman"/>
                <w:sz w:val="20"/>
              </w:rPr>
              <w:t>Arbeitnehmerentsendegesetz — deutsch-belgische Konstellation</w:t>
            </w:r>
          </w:p>
        </w:tc>
        <w:tc>
          <w:tcPr>
            <w:tcW w:type="dxa" w:w="3024"/>
          </w:tcPr>
          <w:p>
            <w:r>
              <w:rPr>
                <w:rFonts w:ascii="Times New Roman" w:hAnsi="Times New Roman"/>
                <w:sz w:val="20"/>
              </w:rPr>
              <w:t>Friedrich</w:t>
            </w:r>
          </w:p>
        </w:tc>
      </w:tr>
      <w:tr>
        <w:tc>
          <w:tcPr>
            <w:tcW w:type="dxa" w:w="3024"/>
          </w:tcPr>
          <w:p>
            <w:r>
              <w:rPr>
                <w:rFonts w:ascii="Times New Roman" w:hAnsi="Times New Roman"/>
                <w:sz w:val="20"/>
              </w:rPr>
              <w:t>04.05.2026</w:t>
            </w:r>
          </w:p>
        </w:tc>
        <w:tc>
          <w:tcPr>
            <w:tcW w:type="dxa" w:w="3024"/>
          </w:tcPr>
          <w:p>
            <w:r>
              <w:rPr>
                <w:rFonts w:ascii="Times New Roman" w:hAnsi="Times New Roman"/>
                <w:sz w:val="20"/>
              </w:rPr>
              <w:t>Erbschaftsteuergestaltung Familienunternehmen</w:t>
            </w:r>
          </w:p>
        </w:tc>
        <w:tc>
          <w:tcPr>
            <w:tcW w:type="dxa" w:w="3024"/>
          </w:tcPr>
          <w:p>
            <w:r>
              <w:rPr>
                <w:rFonts w:ascii="Times New Roman" w:hAnsi="Times New Roman"/>
                <w:sz w:val="20"/>
              </w:rPr>
              <w:t>Sandhof</w:t>
            </w:r>
          </w:p>
        </w:tc>
      </w:tr>
      <w:tr>
        <w:tc>
          <w:tcPr>
            <w:tcW w:type="dxa" w:w="3024"/>
          </w:tcPr>
          <w:p>
            <w:r>
              <w:rPr>
                <w:rFonts w:ascii="Times New Roman" w:hAnsi="Times New Roman"/>
                <w:sz w:val="20"/>
              </w:rPr>
              <w:t>05.05.2026</w:t>
            </w:r>
          </w:p>
        </w:tc>
        <w:tc>
          <w:tcPr>
            <w:tcW w:type="dxa" w:w="3024"/>
          </w:tcPr>
          <w:p>
            <w:r>
              <w:rPr>
                <w:rFonts w:ascii="Times New Roman" w:hAnsi="Times New Roman"/>
                <w:sz w:val="20"/>
              </w:rPr>
              <w:t>SGB IX-Klage gegen Landesversorgungsamt NRW</w:t>
            </w:r>
          </w:p>
        </w:tc>
        <w:tc>
          <w:tcPr>
            <w:tcW w:type="dxa" w:w="3024"/>
          </w:tcPr>
          <w:p>
            <w:r>
              <w:rPr>
                <w:rFonts w:ascii="Times New Roman" w:hAnsi="Times New Roman"/>
                <w:sz w:val="20"/>
              </w:rPr>
              <w:t>Eckermann</w:t>
            </w:r>
          </w:p>
        </w:tc>
      </w:tr>
      <w:tr>
        <w:tc>
          <w:tcPr>
            <w:tcW w:type="dxa" w:w="3024"/>
          </w:tcPr>
          <w:p>
            <w:r>
              <w:rPr>
                <w:rFonts w:ascii="Times New Roman" w:hAnsi="Times New Roman"/>
                <w:sz w:val="20"/>
              </w:rPr>
              <w:t>05.05.2026</w:t>
            </w:r>
          </w:p>
        </w:tc>
        <w:tc>
          <w:tcPr>
            <w:tcW w:type="dxa" w:w="3024"/>
          </w:tcPr>
          <w:p>
            <w:r>
              <w:rPr>
                <w:rFonts w:ascii="Times New Roman" w:hAnsi="Times New Roman"/>
                <w:sz w:val="20"/>
              </w:rPr>
              <w:t>Sozialplangestaltung Industrieunternehmen</w:t>
            </w:r>
          </w:p>
        </w:tc>
        <w:tc>
          <w:tcPr>
            <w:tcW w:type="dxa" w:w="3024"/>
          </w:tcPr>
          <w:p>
            <w:r>
              <w:rPr>
                <w:rFonts w:ascii="Times New Roman" w:hAnsi="Times New Roman"/>
                <w:sz w:val="20"/>
              </w:rPr>
              <w:t>Friedrich + Eckermann</w:t>
            </w:r>
          </w:p>
        </w:tc>
      </w:tr>
      <w:tr>
        <w:tc>
          <w:tcPr>
            <w:tcW w:type="dxa" w:w="3024"/>
          </w:tcPr>
          <w:p>
            <w:r>
              <w:rPr>
                <w:rFonts w:ascii="Times New Roman" w:hAnsi="Times New Roman"/>
                <w:sz w:val="20"/>
              </w:rPr>
              <w:t>06.05.2026</w:t>
            </w:r>
          </w:p>
        </w:tc>
        <w:tc>
          <w:tcPr>
            <w:tcW w:type="dxa" w:w="3024"/>
          </w:tcPr>
          <w:p>
            <w:r>
              <w:rPr>
                <w:rFonts w:ascii="Times New Roman" w:hAnsi="Times New Roman"/>
                <w:sz w:val="20"/>
              </w:rPr>
              <w:t>Unternehmensbewertung steuerlich (Share Deal)</w:t>
            </w:r>
          </w:p>
        </w:tc>
        <w:tc>
          <w:tcPr>
            <w:tcW w:type="dxa" w:w="3024"/>
          </w:tcPr>
          <w:p>
            <w:r>
              <w:rPr>
                <w:rFonts w:ascii="Times New Roman" w:hAnsi="Times New Roman"/>
                <w:sz w:val="20"/>
              </w:rPr>
              <w:t>Sandhof</w:t>
            </w:r>
          </w:p>
        </w:tc>
      </w:tr>
      <w:tr>
        <w:tc>
          <w:tcPr>
            <w:tcW w:type="dxa" w:w="3024"/>
          </w:tcPr>
          <w:p>
            <w:r>
              <w:rPr>
                <w:rFonts w:ascii="Times New Roman" w:hAnsi="Times New Roman"/>
                <w:sz w:val="20"/>
              </w:rPr>
              <w:t>07.05.2026</w:t>
            </w:r>
          </w:p>
        </w:tc>
        <w:tc>
          <w:tcPr>
            <w:tcW w:type="dxa" w:w="3024"/>
          </w:tcPr>
          <w:p>
            <w:r>
              <w:rPr>
                <w:rFonts w:ascii="Times New Roman" w:hAnsi="Times New Roman"/>
                <w:sz w:val="20"/>
              </w:rPr>
              <w:t>Anfrage Cross-Selling: Betriebliche Altersversorgung GmbH</w:t>
            </w:r>
          </w:p>
        </w:tc>
        <w:tc>
          <w:tcPr>
            <w:tcW w:type="dxa" w:w="3024"/>
          </w:tcPr>
          <w:p>
            <w:r>
              <w:rPr>
                <w:rFonts w:ascii="Times New Roman" w:hAnsi="Times New Roman"/>
                <w:sz w:val="20"/>
              </w:rPr>
              <w:t>Alle drei</w:t>
            </w:r>
          </w:p>
        </w:tc>
      </w:tr>
    </w:tbl>
    <w:p>
      <w:pPr>
        <w:jc w:val="left"/>
      </w:pPr>
      <w:r>
        <w:t>Die erste Woche bestätigte das Konzept des cross-funktionalen Mandatsansatzes: Drei der acht Anfragen erforderten die Zusammenarbeit zweier oder aller drei Fachgebiete.</w:t>
      </w:r>
    </w:p>
    <w:p/>
    <w:p>
      <w:pPr>
        <w:pStyle w:val="Heading2"/>
      </w:pPr>
      <w:r>
        <w:rPr>
          <w:rFonts w:ascii="Times New Roman" w:hAnsi="Times New Roman"/>
        </w:rPr>
        <w:t>5. Statusbericht Offene Punkte (Stand 09.05.2026)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Thema</w:t>
            </w:r>
          </w:p>
        </w:tc>
        <w:tc>
          <w:tcPr>
            <w:tcW w:type="dxa" w:w="4536"/>
          </w:tcPr>
          <w:p>
            <w:r>
              <w:rPr>
                <w:rFonts w:ascii="Times New Roman" w:hAnsi="Times New Roman"/>
                <w:b/>
                <w:sz w:val="20"/>
              </w:rPr>
              <w:t>Status</w:t>
            </w:r>
          </w:p>
        </w:tc>
      </w:tr>
      <w:tr>
        <w:tc>
          <w:tcPr>
            <w:tcW w:type="dxa" w:w="4536"/>
          </w:tcPr>
          <w:p>
            <w:r>
              <w:rPr>
                <w:rFonts w:ascii="Times New Roman" w:hAnsi="Times New Roman"/>
                <w:sz w:val="20"/>
              </w:rPr>
              <w:t>Zulassung RAK Aachen</w:t>
            </w:r>
          </w:p>
        </w:tc>
        <w:tc>
          <w:tcPr>
            <w:tcW w:type="dxa" w:w="4536"/>
          </w:tcPr>
          <w:p>
            <w:r>
              <w:rPr>
                <w:rFonts w:ascii="Times New Roman" w:hAnsi="Times New Roman"/>
                <w:sz w:val="20"/>
              </w:rPr>
              <w:t>Erteilt</w:t>
            </w:r>
          </w:p>
        </w:tc>
      </w:tr>
      <w:tr>
        <w:tc>
          <w:tcPr>
            <w:tcW w:type="dxa" w:w="4536"/>
          </w:tcPr>
          <w:p>
            <w:r>
              <w:rPr>
                <w:rFonts w:ascii="Times New Roman" w:hAnsi="Times New Roman"/>
                <w:sz w:val="20"/>
              </w:rPr>
              <w:t>Handelsregistereintrag</w:t>
            </w:r>
          </w:p>
        </w:tc>
        <w:tc>
          <w:tcPr>
            <w:tcW w:type="dxa" w:w="4536"/>
          </w:tcPr>
          <w:p>
            <w:r>
              <w:rPr>
                <w:rFonts w:ascii="Times New Roman" w:hAnsi="Times New Roman"/>
                <w:sz w:val="20"/>
              </w:rPr>
              <w:t>Vollzogen</w:t>
            </w:r>
          </w:p>
        </w:tc>
      </w:tr>
      <w:tr>
        <w:tc>
          <w:tcPr>
            <w:tcW w:type="dxa" w:w="4536"/>
          </w:tcPr>
          <w:p>
            <w:r>
              <w:rPr>
                <w:rFonts w:ascii="Times New Roman" w:hAnsi="Times New Roman"/>
                <w:sz w:val="20"/>
              </w:rPr>
              <w:t>Berufshaftpflicht Allianz</w:t>
            </w:r>
          </w:p>
        </w:tc>
        <w:tc>
          <w:tcPr>
            <w:tcW w:type="dxa" w:w="4536"/>
          </w:tcPr>
          <w:p>
            <w:r>
              <w:rPr>
                <w:rFonts w:ascii="Times New Roman" w:hAnsi="Times New Roman"/>
                <w:sz w:val="20"/>
              </w:rPr>
              <w:t>Wirksam</w:t>
            </w:r>
          </w:p>
        </w:tc>
      </w:tr>
      <w:tr>
        <w:tc>
          <w:tcPr>
            <w:tcW w:type="dxa" w:w="4536"/>
          </w:tcPr>
          <w:p>
            <w:r>
              <w:rPr>
                <w:rFonts w:ascii="Times New Roman" w:hAnsi="Times New Roman"/>
                <w:sz w:val="20"/>
              </w:rPr>
              <w:t>Mietvertrag Pontstraße 88</w:t>
            </w:r>
          </w:p>
        </w:tc>
        <w:tc>
          <w:tcPr>
            <w:tcW w:type="dxa" w:w="4536"/>
          </w:tcPr>
          <w:p>
            <w:r>
              <w:rPr>
                <w:rFonts w:ascii="Times New Roman" w:hAnsi="Times New Roman"/>
                <w:sz w:val="20"/>
              </w:rPr>
              <w:t>Unterzeichnet, läuft</w:t>
            </w:r>
          </w:p>
        </w:tc>
      </w:tr>
      <w:tr>
        <w:tc>
          <w:tcPr>
            <w:tcW w:type="dxa" w:w="4536"/>
          </w:tcPr>
          <w:p>
            <w:r>
              <w:rPr>
                <w:rFonts w:ascii="Times New Roman" w:hAnsi="Times New Roman"/>
                <w:sz w:val="20"/>
              </w:rPr>
              <w:t>Betriebsübergang 12 MA</w:t>
            </w:r>
          </w:p>
        </w:tc>
        <w:tc>
          <w:tcPr>
            <w:tcW w:type="dxa" w:w="4536"/>
          </w:tcPr>
          <w:p>
            <w:r>
              <w:rPr>
                <w:rFonts w:ascii="Times New Roman" w:hAnsi="Times New Roman"/>
                <w:sz w:val="20"/>
              </w:rPr>
              <w:t>Abgeschlossen, kein Widerspruch</w:t>
            </w:r>
          </w:p>
        </w:tc>
      </w:tr>
      <w:tr>
        <w:tc>
          <w:tcPr>
            <w:tcW w:type="dxa" w:w="4536"/>
          </w:tcPr>
          <w:p>
            <w:r>
              <w:rPr>
                <w:rFonts w:ascii="Times New Roman" w:hAnsi="Times New Roman"/>
                <w:sz w:val="20"/>
              </w:rPr>
              <w:t>beA Gesellschaftspostfach</w:t>
            </w:r>
          </w:p>
        </w:tc>
        <w:tc>
          <w:tcPr>
            <w:tcW w:type="dxa" w:w="4536"/>
          </w:tcPr>
          <w:p>
            <w:r>
              <w:rPr>
                <w:rFonts w:ascii="Times New Roman" w:hAnsi="Times New Roman"/>
                <w:sz w:val="20"/>
              </w:rPr>
              <w:t>Aktiv</w:t>
            </w:r>
          </w:p>
        </w:tc>
      </w:tr>
      <w:tr>
        <w:tc>
          <w:tcPr>
            <w:tcW w:type="dxa" w:w="4536"/>
          </w:tcPr>
          <w:p>
            <w:r>
              <w:rPr>
                <w:rFonts w:ascii="Times New Roman" w:hAnsi="Times New Roman"/>
                <w:sz w:val="20"/>
              </w:rPr>
              <w:t>RA-Micro Kanzleisystem</w:t>
            </w:r>
          </w:p>
        </w:tc>
        <w:tc>
          <w:tcPr>
            <w:tcW w:type="dxa" w:w="4536"/>
          </w:tcPr>
          <w:p>
            <w:r>
              <w:rPr>
                <w:rFonts w:ascii="Times New Roman" w:hAnsi="Times New Roman"/>
                <w:sz w:val="20"/>
              </w:rPr>
              <w:t>Im Echtbetrieb</w:t>
            </w:r>
          </w:p>
        </w:tc>
      </w:tr>
      <w:tr>
        <w:tc>
          <w:tcPr>
            <w:tcW w:type="dxa" w:w="4536"/>
          </w:tcPr>
          <w:p>
            <w:r>
              <w:rPr>
                <w:rFonts w:ascii="Times New Roman" w:hAnsi="Times New Roman"/>
                <w:sz w:val="20"/>
              </w:rPr>
              <w:t>Markenstreit EFS Stuttgart</w:t>
            </w:r>
          </w:p>
        </w:tc>
        <w:tc>
          <w:tcPr>
            <w:tcW w:type="dxa" w:w="4536"/>
          </w:tcPr>
          <w:p>
            <w:r>
              <w:rPr>
                <w:rFonts w:ascii="Times New Roman" w:hAnsi="Times New Roman"/>
                <w:sz w:val="20"/>
              </w:rPr>
              <w:t>In Verhandlung (Koexistenz)</w:t>
            </w:r>
          </w:p>
        </w:tc>
      </w:tr>
      <w:tr>
        <w:tc>
          <w:tcPr>
            <w:tcW w:type="dxa" w:w="4536"/>
          </w:tcPr>
          <w:p>
            <w:r>
              <w:rPr>
                <w:rFonts w:ascii="Times New Roman" w:hAnsi="Times New Roman"/>
                <w:sz w:val="20"/>
              </w:rPr>
              <w:t>Domainstreit efs-recht.de</w:t>
            </w:r>
          </w:p>
        </w:tc>
        <w:tc>
          <w:tcPr>
            <w:tcW w:type="dxa" w:w="4536"/>
          </w:tcPr>
          <w:p>
            <w:r>
              <w:rPr>
                <w:rFonts w:ascii="Times New Roman" w:hAnsi="Times New Roman"/>
                <w:sz w:val="20"/>
              </w:rPr>
              <w:t>DENIC-Dispute beantragt; einstw. VfG vorbereitung</w:t>
            </w:r>
          </w:p>
        </w:tc>
      </w:tr>
      <w:tr>
        <w:tc>
          <w:tcPr>
            <w:tcW w:type="dxa" w:w="4536"/>
          </w:tcPr>
          <w:p>
            <w:r>
              <w:rPr>
                <w:rFonts w:ascii="Times New Roman" w:hAnsi="Times New Roman"/>
                <w:sz w:val="20"/>
              </w:rPr>
              <w:t>DSFA</w:t>
            </w:r>
          </w:p>
        </w:tc>
        <w:tc>
          <w:tcPr>
            <w:tcW w:type="dxa" w:w="4536"/>
          </w:tcPr>
          <w:p>
            <w:r>
              <w:rPr>
                <w:rFonts w:ascii="Times New Roman" w:hAnsi="Times New Roman"/>
                <w:sz w:val="20"/>
              </w:rPr>
              <w:t>In Bearbeitung, Fertigstellung 31.05.2026</w:t>
            </w:r>
          </w:p>
        </w:tc>
      </w:tr>
      <w:tr>
        <w:tc>
          <w:tcPr>
            <w:tcW w:type="dxa" w:w="4536"/>
          </w:tcPr>
          <w:p>
            <w:r>
              <w:rPr>
                <w:rFonts w:ascii="Times New Roman" w:hAnsi="Times New Roman"/>
                <w:sz w:val="20"/>
              </w:rPr>
              <w:t>StBK Köln (Sandhof/EFS-GmbH)</w:t>
            </w:r>
          </w:p>
        </w:tc>
        <w:tc>
          <w:tcPr>
            <w:tcW w:type="dxa" w:w="4536"/>
          </w:tcPr>
          <w:p>
            <w:r>
              <w:rPr>
                <w:rFonts w:ascii="Times New Roman" w:hAnsi="Times New Roman"/>
                <w:sz w:val="20"/>
              </w:rPr>
              <w:t>Antrag gestellt, Bescheid erwartet</w:t>
            </w:r>
          </w:p>
        </w:tc>
      </w:tr>
    </w:tbl>
    <w:p/>
    <w:p>
      <w:pPr>
        <w:pStyle w:val="Heading2"/>
      </w:pPr>
      <w:r>
        <w:rPr>
          <w:rFonts w:ascii="Times New Roman" w:hAnsi="Times New Roman"/>
        </w:rPr>
        <w:t>6. Fazit und Ausblick</w:t>
      </w:r>
    </w:p>
    <w:p>
      <w:pPr>
        <w:jc w:val="left"/>
      </w:pPr>
      <w:r>
        <w:t>Die Gründung der EFS Rechtsanwaltsgesellschaft mbH ist erfolgreich abgeschlossen. Alle wesentlichen rechtlichen, organisatorischen und infrastrukturellen Maßnahmen wurden fristgerecht umgesetzt. Die Kanzlei verfügt über:</w:t>
      </w:r>
    </w:p>
    <w:p>
      <w:pPr>
        <w:pStyle w:val="ListBullet"/>
      </w:pPr>
      <w:r>
        <w:t>Eine RAK-zugelassene Rechtsanwaltsgesellschaft mbH nach §§ 59c ff. BRAO</w:t>
      </w:r>
    </w:p>
    <w:p>
      <w:pPr>
        <w:pStyle w:val="ListBullet"/>
      </w:pPr>
      <w:r>
        <w:t>Drei eingetragene Fachanwälte mit je eigenem Fachgebiet</w:t>
      </w:r>
    </w:p>
    <w:p>
      <w:pPr>
        <w:pStyle w:val="ListBullet"/>
      </w:pPr>
      <w:r>
        <w:t>12 übernommene Mitarbeiter aus drei Vorgängerkanzleien</w:t>
      </w:r>
    </w:p>
    <w:p>
      <w:pPr>
        <w:pStyle w:val="ListBullet"/>
      </w:pPr>
      <w:r>
        <w:t>Eine moderne IT-Infrastruktur mit RA-Micro und beA-Integration</w:t>
      </w:r>
    </w:p>
    <w:p>
      <w:pPr>
        <w:pStyle w:val="ListBullet"/>
      </w:pPr>
      <w:r>
        <w:t>Eine Berufshaftpflichtversicherung weit über dem gesetzlichen Minimum</w:t>
      </w:r>
    </w:p>
    <w:p>
      <w:pPr>
        <w:pStyle w:val="ListBullet"/>
      </w:pPr>
      <w:r>
        <w:t>Eine starke Marktpositionierung als Dreierspezial-Kanzlei in Aachen</w:t>
      </w:r>
    </w:p>
    <w:p>
      <w:pPr>
        <w:jc w:val="left"/>
      </w:pPr>
      <w:r>
        <w:t>Offene rechtliche Baustellen (Marke, Domain) sind identifiziert und in guten Händen. Die erste Kanzleiwoche hat das Konzept bereits bestätigt.</w:t>
      </w:r>
    </w:p>
    <w:p/>
    <w:p>
      <w:pPr>
        <w:pStyle w:val="Heading2"/>
      </w:pPr>
      <w:r>
        <w:rPr>
          <w:rFonts w:ascii="Times New Roman" w:hAnsi="Times New Roman"/>
        </w:rPr>
        <w:t>Quellen</w:t>
      </w:r>
    </w:p>
    <w:p>
      <w:pPr>
        <w:pStyle w:val="ListBullet"/>
      </w:pPr>
      <w:r>
        <w:t>BRAO §§ 59c ff. (RA-GmbH): dejure.org/gesetze/BRAO</w:t>
      </w:r>
    </w:p>
    <w:p>
      <w:pPr>
        <w:pStyle w:val="ListBullet"/>
      </w:pPr>
      <w:r>
        <w:t>GmbHG § 11 (Entstehung der GmbH): dejure.org/gesetze/GmbHG/11</w:t>
      </w:r>
    </w:p>
    <w:p>
      <w:pPr>
        <w:pStyle w:val="ListBullet"/>
      </w:pPr>
      <w:r>
        <w:t>BRAO § 31 (Anwaltsregister): dejure.org/gesetze/BRAO/31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