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Sachliche Marktabgrenzung — Bahnbetonschwellen vs. Alternativen (Holz, Stahl, Verbund)</w:t>
      </w:r>
    </w:p>
    <w:p>
      <w:pPr>
        <w:jc w:val="left"/>
      </w:pPr>
      <w:r>
        <w:t>Datum: 24. Februar 2026</w:t>
      </w:r>
    </w:p>
    <w:p>
      <w:pPr>
        <w:jc w:val="left"/>
      </w:pPr>
      <w:r>
        <w:t>Bearbeiter: Prof. Dr. Cornelius Friedrich Schwertbeck</w:t>
      </w:r>
    </w:p>
    <w:p>
      <w:pPr>
        <w:jc w:val="left"/>
      </w:pPr>
      <w:r>
        <w:t>Aktenzeichen: SW/2026/KA-0318 | BKartA B6-188-26</w:t>
      </w:r>
    </w:p>
    <w:p/>
    <w:p>
      <w:pPr>
        <w:pStyle w:val="Heading2"/>
      </w:pPr>
      <w:r>
        <w:rPr>
          <w:rFonts w:ascii="Times New Roman" w:hAnsi="Times New Roman"/>
        </w:rPr>
        <w:t>1. Problemaufriss</w:t>
      </w:r>
    </w:p>
    <w:p>
      <w:pPr>
        <w:jc w:val="left"/>
      </w:pPr>
      <w:r>
        <w:t>Die sachliche Marktabgrenzung ist der zentrale Weichenstellung des gesamten Fusionskontrollverfahrens. Drei Abgrenzungshypothesen stehen gegeneinander:</w:t>
      </w:r>
    </w:p>
    <w:p>
      <w:pPr>
        <w:jc w:val="left"/>
      </w:pPr>
      <w:r>
        <w:rPr>
          <w:b/>
        </w:rPr>
        <w:t>Hypothese A (eng):</w:t>
      </w:r>
      <w:r>
        <w:t xml:space="preserve"> Separater Markt "Bahnbetonschwellen" — nur Betonprodukte für den Einsatz als Bahnschwelle.</w:t>
      </w:r>
    </w:p>
    <w:p>
      <w:pPr>
        <w:jc w:val="left"/>
      </w:pPr>
      <w:r>
        <w:rPr>
          <w:b/>
        </w:rPr>
        <w:t>Hypothese B (mittel):</w:t>
      </w:r>
      <w:r>
        <w:t xml:space="preserve"> Markt "Betonprodukte für Schienenverkehr" — schließt auch Weichenunterlagen, Brückenschwellen und Betontröge für Straßenbahn ein.</w:t>
      </w:r>
    </w:p>
    <w:p>
      <w:pPr>
        <w:jc w:val="left"/>
      </w:pPr>
      <w:r>
        <w:rPr>
          <w:b/>
        </w:rPr>
        <w:t>Hypothese C (weit):</w:t>
      </w:r>
      <w:r>
        <w:t xml:space="preserve"> Markt "Schienenoberbau-Komponenten" — schließt Holzschwellen, Stahlschwellen, Verbundschwellen und sonstige Oberbaukomponenten ein.</w:t>
      </w:r>
    </w:p>
    <w:p>
      <w:pPr>
        <w:jc w:val="left"/>
      </w:pPr>
      <w:r>
        <w:t>Das Ergebnis dieser Abgrenzung prägt unmittelbar den Marktanteil des kombinierten Unternehmens: Bei Hypothese A liegt er bei ca. 57 % (DE), bei Hypothese C sinkt er deutlich.</w:t>
      </w:r>
    </w:p>
    <w:p/>
    <w:p>
      <w:pPr>
        <w:pStyle w:val="Heading2"/>
      </w:pPr>
      <w:r>
        <w:rPr>
          <w:rFonts w:ascii="Times New Roman" w:hAnsi="Times New Roman"/>
        </w:rPr>
        <w:t>2. Methodische Grundlagen</w:t>
      </w:r>
    </w:p>
    <w:p>
      <w:pPr>
        <w:pStyle w:val="Heading3"/>
      </w:pPr>
      <w:r>
        <w:rPr>
          <w:rFonts w:ascii="Times New Roman" w:hAnsi="Times New Roman"/>
        </w:rPr>
        <w:t>2.1 Bedarfsmarktkonzept</w:t>
      </w:r>
    </w:p>
    <w:p>
      <w:pPr>
        <w:jc w:val="left"/>
      </w:pPr>
      <w:r>
        <w:t>Das Bedarfsmarktkonzept (auch: Nachfragermarktkonzept) ist der dogmatische Ausgangspunkt der deutschen und europäischen Marktabgrenzungspraxis. Es fragt danach, welche Produkte aus der Sicht der Nachfrager gegeneinander austauschbar sind. Maßgebend ist die funktionelle Austauschbarkeit (Verwendungszweck) sowie die Kreuzpreiselastizität der Nachfrage.</w:t>
      </w:r>
    </w:p>
    <w:p>
      <w:pPr>
        <w:jc w:val="left"/>
      </w:pPr>
      <w:r>
        <w:t>Grundlegend in der deutschen Rechtsprechung: BGH, Beschluss vom 26. Oktober 1987, KZR 39/85 — "Lüsterbehang", BGHZ 102, 168: Der BGH hat das Bedarfsmarktkonzept für das deutsche Kartellrecht als maßgebliche Abgrenzungsmethode bestätigt. (bundesgerichtshof.de)</w:t>
      </w:r>
    </w:p>
    <w:p>
      <w:pPr>
        <w:jc w:val="left"/>
      </w:pPr>
      <w:r>
        <w:t>Auf EU-Ebene: Bekanntmachung der Kommission über die Definition des relevanten Marktes (1997/C 372/03), ersetzt durch die Bekanntmachung vom 08.02.2024, ABl. C/2024/1645 (EUR-Lex): maßgebend sind (i) Nachfragesubstitution, (ii) Angebotssubstitution und (iii) potentieller Wettbewerb.</w:t>
      </w:r>
    </w:p>
    <w:p>
      <w:pPr>
        <w:pStyle w:val="Heading3"/>
      </w:pPr>
      <w:r>
        <w:rPr>
          <w:rFonts w:ascii="Times New Roman" w:hAnsi="Times New Roman"/>
        </w:rPr>
        <w:t>2.2 SSNIP-Test</w:t>
      </w:r>
    </w:p>
    <w:p>
      <w:pPr>
        <w:jc w:val="left"/>
      </w:pPr>
      <w:r>
        <w:t>Der SSNIP-Test (Small but Significant Non-transitory Increase in Price) fragt: Würde ein hypothetischer Monopolist eine dauerhafte, nicht vorübergehende Preiserhöhung um 5–10 % profitabel durchsetzen können? Falls ja, bildet das betroffene Produkt einen eigenständigen Markt; falls nein (weil Kunden auf andere Produkte ausweichen), ist der Markt weiter zu ziehen.</w:t>
      </w:r>
    </w:p>
    <w:p>
      <w:pPr>
        <w:jc w:val="left"/>
      </w:pPr>
      <w:r>
        <w:t>Im vorliegenden Fall: Würde eine 5-%-Preiserhöhung für Bahnbetonschwellen dazu führen, dass die Deutsche Bahn AG und andere Netzbetreiber in nennenswertem Umfang auf Holzschwellen, Stahlschwellen oder Verbundschwellen ausweichen?</w:t>
      </w:r>
    </w:p>
    <w:p/>
    <w:p>
      <w:pPr>
        <w:pStyle w:val="Heading2"/>
      </w:pPr>
      <w:r>
        <w:rPr>
          <w:rFonts w:ascii="Times New Roman" w:hAnsi="Times New Roman"/>
        </w:rPr>
        <w:t>3. Produktvergleich: Betonschwelle vs. Alternativen</w:t>
      </w:r>
    </w:p>
    <w:p>
      <w:pPr>
        <w:pStyle w:val="Heading3"/>
      </w:pPr>
      <w:r>
        <w:rPr>
          <w:rFonts w:ascii="Times New Roman" w:hAnsi="Times New Roman"/>
        </w:rPr>
        <w:t>3.1 Holzschwellen</w:t>
      </w:r>
    </w:p>
    <w:p>
      <w:pPr>
        <w:jc w:val="left"/>
      </w:pPr>
      <w:r>
        <w:t>Holzschwellen waren bis in die 1970er Jahre das dominierende Produkt. In Deutschland ist ihr Anteil auf unter 5 % am Bestand gefallen. Die DB AG hat sich intern verpflichtet, Neuverlegungen von Holzschwellen auf Bestand- und Nebenstrecken zu beschränken.</w:t>
      </w:r>
    </w:p>
    <w:p>
      <w:pPr>
        <w:jc w:val="left"/>
      </w:pPr>
      <w:r>
        <w:rPr>
          <w:b/>
        </w:rPr>
        <w:t>Substitutionshemmnisse:</w:t>
      </w:r>
    </w:p>
    <w:p>
      <w:pPr>
        <w:pStyle w:val="ListBullet"/>
      </w:pPr>
      <w:r>
        <w:t>Holzschwellen erfordern Beschichtung mit Teeröl/Kreosot (biozidpflichtig, EG-Biozidverordnung 528/2012); Kreosot ist ab 2023 nur mit Ausnahmegenehmigung verwendbar (Beschluss der Kommission C(2021) 7023).</w:t>
      </w:r>
    </w:p>
    <w:p>
      <w:pPr>
        <w:pStyle w:val="ListBullet"/>
      </w:pPr>
      <w:r>
        <w:t>Lebensdauer Holzschwelle: 25–35 Jahre. Lebensdauer Betonschwelle: 50–60 Jahre. Lebenszykluskosten sind für Beton deutlich günstiger.</w:t>
      </w:r>
    </w:p>
    <w:p>
      <w:pPr>
        <w:pStyle w:val="ListBullet"/>
      </w:pPr>
      <w:r>
        <w:t>Holzschwellen werden vom DB-Standardlastenheft für Hochgeschwindigkeitsstrecken und elektrifizierte Hauptstrecken ausgeschlossen.</w:t>
      </w:r>
    </w:p>
    <w:p>
      <w:pPr>
        <w:pStyle w:val="ListBullet"/>
      </w:pPr>
      <w:r>
        <w:t>Aus Sicht der DB AG ist der Austausch von Betonunter- durch Holzoberbau bei bestehenden Gleislagen mit erheblichem Umbauaufwand verbunden.</w:t>
      </w:r>
    </w:p>
    <w:p>
      <w:pPr>
        <w:jc w:val="left"/>
      </w:pPr>
      <w:r>
        <w:rPr>
          <w:b/>
        </w:rPr>
        <w:t>Zwischenergebnis:</w:t>
      </w:r>
      <w:r>
        <w:t xml:space="preserve"> Eine SSNIP-bedingte Rückkehr zur Holzschwelle ist für den Großteil des Nachfragerfeldes technisch und regulatorisch nicht kurzfristig möglich. Die Kreuzpreiselastizität der Nachfrage zwischen Betonsschwellen und Holzschwellen ist gering.</w:t>
      </w:r>
    </w:p>
    <w:p>
      <w:pPr>
        <w:pStyle w:val="Heading3"/>
      </w:pPr>
      <w:r>
        <w:rPr>
          <w:rFonts w:ascii="Times New Roman" w:hAnsi="Times New Roman"/>
        </w:rPr>
        <w:t>3.2 Stahlschwellen</w:t>
      </w:r>
    </w:p>
    <w:p>
      <w:pPr>
        <w:jc w:val="left"/>
      </w:pPr>
      <w:r>
        <w:t>Stahlschwellen finden Verwendung im Tunnelbau und auf besonderen Gleislagen (enge Kurvenradien, Übergangsstücke). Ihr Marktanteil in Deutschland ist sehr gering (&lt; 2 % der Neuverlegungen). Hergestellt werden sie von spezialisierten Stahlbauunternehmen (kein Substitutionswettbewerb mit Betonherstellern).</w:t>
      </w:r>
    </w:p>
    <w:p>
      <w:pPr>
        <w:jc w:val="left"/>
      </w:pPr>
      <w:r>
        <w:rPr>
          <w:b/>
        </w:rPr>
        <w:t>Zwischenergebnis:</w:t>
      </w:r>
      <w:r>
        <w:t xml:space="preserve"> Stahlschwellen sind kein funktionaler Substitut für die typische Betonschwellen-Anwendung auf Hauptstrecken.</w:t>
      </w:r>
    </w:p>
    <w:p>
      <w:pPr>
        <w:pStyle w:val="Heading3"/>
      </w:pPr>
      <w:r>
        <w:rPr>
          <w:rFonts w:ascii="Times New Roman" w:hAnsi="Times New Roman"/>
        </w:rPr>
        <w:t>3.3 Verbundschwellen (Composite/Kunststoff)</w:t>
      </w:r>
    </w:p>
    <w:p>
      <w:pPr>
        <w:jc w:val="left"/>
      </w:pPr>
      <w:r>
        <w:t>Verbundschwellen (Recyclingkunststoff, Glasfaser-verstärkt) werden primär auf Nebenstrecken und im Bereich Bahnübergänge eingesetzt. Produktionsvolumen in Deutschland minimal. Preis typischerweise 30–50 % höher als Betonschwelle pro Stück.</w:t>
      </w:r>
    </w:p>
    <w:p>
      <w:pPr>
        <w:jc w:val="left"/>
      </w:pPr>
      <w:r>
        <w:rPr>
          <w:b/>
        </w:rPr>
        <w:t>Zwischenergebnis:</w:t>
      </w:r>
      <w:r>
        <w:t xml:space="preserve"> Kein relevanter Wettbewerb zum Betonschwellenmarkt.</w:t>
      </w:r>
    </w:p>
    <w:p/>
    <w:p>
      <w:pPr>
        <w:pStyle w:val="Heading2"/>
      </w:pPr>
      <w:r>
        <w:rPr>
          <w:rFonts w:ascii="Times New Roman" w:hAnsi="Times New Roman"/>
        </w:rPr>
        <w:t>4. Abgrenzung innerhalb des Betonsegments</w:t>
      </w:r>
    </w:p>
    <w:p>
      <w:pPr>
        <w:pStyle w:val="Heading3"/>
      </w:pPr>
      <w:r>
        <w:rPr>
          <w:rFonts w:ascii="Times New Roman" w:hAnsi="Times New Roman"/>
        </w:rPr>
        <w:t>4.1 Weichenschwellen</w:t>
      </w:r>
    </w:p>
    <w:p>
      <w:pPr>
        <w:jc w:val="left"/>
      </w:pPr>
      <w:r>
        <w:t>Weichenschwellen (Betonschwellen für Weichenanlagen) erfordern gesonderte Zulassung und individuelle Herstellungsparameter. GBW produziert Weichenschwellen; TBA nicht (TBA fokussiert auf Standardstrecken). Innerhalb des Produktbündels sind Weichenschwellen ein ergänzendes Produkt, das häufig gemeinsam ausgeschrieben wird — die Frage, ob sie denselben relevanten Markt bilden, kann vorerst offengelassen werden, da das BKartA in vergleichbaren Fällen eine Gesamtbetrachtung "Bahnbetonschwellen inkl. Weichenschwellen" vorgenommen hat.</w:t>
      </w:r>
    </w:p>
    <w:p>
      <w:pPr>
        <w:pStyle w:val="Heading3"/>
      </w:pPr>
      <w:r>
        <w:rPr>
          <w:rFonts w:ascii="Times New Roman" w:hAnsi="Times New Roman"/>
        </w:rPr>
        <w:t>4.2 Brückenschwellen</w:t>
      </w:r>
    </w:p>
    <w:p>
      <w:pPr>
        <w:jc w:val="left"/>
      </w:pPr>
      <w:r>
        <w:t>Brückenschwellen (Spezialbetonschwellen mit verstärkter Ausführung) sind nur von wenigen Herstellern lieferbar. GBW ist zertifiziert; TBA nicht. Sie bilden einen sachlich abgrenzbaren Untermarkt, auf dem der Post-Merger-Marktanteil von GBW noch höher liegt.</w:t>
      </w:r>
    </w:p>
    <w:p>
      <w:pPr>
        <w:pStyle w:val="Heading3"/>
      </w:pPr>
      <w:r>
        <w:rPr>
          <w:rFonts w:ascii="Times New Roman" w:hAnsi="Times New Roman"/>
        </w:rPr>
        <w:t>4.3 Straßenbahn-Schwellen / Gleiseindeckungen</w:t>
      </w:r>
    </w:p>
    <w:p>
      <w:pPr>
        <w:jc w:val="left"/>
      </w:pPr>
      <w:r>
        <w:t>Gesondertes Produkt; nicht deckungsgleich mit Vollbahn-Betonschwellen. Kunden sind kommunale Verkehrsbetriebe. Abzugrenzen.</w:t>
      </w:r>
    </w:p>
    <w:p/>
    <w:p>
      <w:pPr>
        <w:pStyle w:val="Heading2"/>
      </w:pPr>
      <w:r>
        <w:rPr>
          <w:rFonts w:ascii="Times New Roman" w:hAnsi="Times New Roman"/>
        </w:rPr>
        <w:t>5. Ergebnis der sachlichen Marktabgrenzung (vorläufig)</w:t>
      </w:r>
    </w:p>
    <w:p>
      <w:pPr>
        <w:jc w:val="left"/>
      </w:pPr>
      <w:r>
        <w:t xml:space="preserve">Die Kanzlei empfiehlt, den sachlich relevanten Markt als </w:t>
      </w:r>
      <w:r>
        <w:rPr>
          <w:b/>
        </w:rPr>
        <w:t>"Bahnbetonschwellen für Vollbahn (Spannbetonschwellen inkl. Weichenschwellen)"</w:t>
      </w:r>
      <w:r>
        <w:t xml:space="preserve"> zu definieren (Hypothese A). Dies entspricht der engen Abgrenzung, die das BKartA in vergleichbaren Produktmärkten (Eisenbahnzubehör, BKARTA B6-67/14-T/17) tendenziell bevorzugt.</w:t>
      </w:r>
    </w:p>
    <w:p>
      <w:pPr>
        <w:jc w:val="left"/>
      </w:pPr>
      <w:r>
        <w:t>Für die Antragsstrategie ist darzulegen, dass Hypothese B (weiter: "Betonprodukte Schienenverkehr") ebenfalls vertretbar ist — dies würde den kombinierten Marktanteil leicht verringern und die Drittproduktanbieter stärker einbeziehen.</w:t>
      </w:r>
    </w:p>
    <w:p>
      <w:pPr>
        <w:jc w:val="left"/>
      </w:pPr>
      <w:r>
        <w:t>Hypothese C (weit: "Schienenoberbau-Komponenten") ist argumentativ schwach, weil die Kreuzpreiselastizitäten gering sind und technische Austauschbeschränkungen dominieren. Sie sollte nur als Hilfsbegründung mitgeführt werden.</w:t>
      </w:r>
    </w:p>
    <w:p/>
    <w:p>
      <w:pPr>
        <w:pStyle w:val="Heading2"/>
      </w:pPr>
      <w:r>
        <w:rPr>
          <w:rFonts w:ascii="Times New Roman" w:hAnsi="Times New Roman"/>
        </w:rPr>
        <w:t>Quellen</w:t>
      </w:r>
    </w:p>
    <w:p>
      <w:pPr>
        <w:pStyle w:val="ListBullet"/>
      </w:pPr>
      <w:r>
        <w:t>BGH KZR 39/85 "Lüsterbehang" (Bedarfsmarktkonzept): bundesgerichtshof.de; Volltext openjur.de</w:t>
      </w:r>
    </w:p>
    <w:p>
      <w:pPr>
        <w:pStyle w:val="ListBullet"/>
      </w:pPr>
      <w:r>
        <w:t>Kommissionsbekanntmachung Marktdefinition 2024 (ABl. C/2024/1645): EUR-Lex</w:t>
      </w:r>
    </w:p>
    <w:p>
      <w:pPr>
        <w:pStyle w:val="ListBullet"/>
      </w:pPr>
      <w:r>
        <w:t>Art. 2 Abs. 1 FKVO 139/2004: EUR-Lex</w:t>
      </w:r>
    </w:p>
    <w:p>
      <w:pPr>
        <w:pStyle w:val="ListBullet"/>
      </w:pPr>
      <w:r>
        <w:t>EG-Biozidverordnung 528/2012 (Kreosot-Beschränkung): EUR-Lex</w:t>
      </w:r>
    </w:p>
    <w:p>
      <w:pPr>
        <w:pStyle w:val="ListBullet"/>
      </w:pPr>
      <w:r>
        <w:t>§ 18 Abs. 1 GWB (Marktbeherrschungsdefinition): dejure.org/gesetze/GWB/18.html</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