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SSNIP-Test und Bedarfsmarktkonzept — Anwendung auf Bahnbetonschwellen</w:t>
      </w:r>
    </w:p>
    <w:p>
      <w:pPr>
        <w:jc w:val="left"/>
      </w:pPr>
      <w:r>
        <w:t>Datum: 26. Februar 2026</w:t>
      </w:r>
    </w:p>
    <w:p>
      <w:pPr>
        <w:jc w:val="left"/>
      </w:pPr>
      <w:r>
        <w:t>Bearbeiter: Prof. Dr. Cornelius Friedrich Schwertbeck, RA Stefan Brinkmeier</w:t>
      </w:r>
    </w:p>
    <w:p>
      <w:pPr>
        <w:jc w:val="left"/>
      </w:pPr>
      <w:r>
        <w:t>Aktenzeichen: SW/2026/KA-0318 | BKartA B6-188-26</w:t>
      </w:r>
    </w:p>
    <w:p/>
    <w:p>
      <w:pPr>
        <w:pStyle w:val="Heading2"/>
      </w:pPr>
      <w:r>
        <w:rPr>
          <w:rFonts w:ascii="Times New Roman" w:hAnsi="Times New Roman"/>
        </w:rPr>
        <w:t>1. Hintergrund und Methodik</w:t>
      </w:r>
    </w:p>
    <w:p>
      <w:pPr>
        <w:pStyle w:val="Heading3"/>
      </w:pPr>
      <w:r>
        <w:rPr>
          <w:rFonts w:ascii="Times New Roman" w:hAnsi="Times New Roman"/>
        </w:rPr>
        <w:t>1.1 Das Bedarfsmarktkonzept in der deutschen Rechtsprechung</w:t>
      </w:r>
    </w:p>
    <w:p>
      <w:pPr>
        <w:jc w:val="left"/>
      </w:pPr>
      <w:r>
        <w:t>Das Bedarfsmarktkonzept wurde vom Bundesgerichtshof in seiner grundlegenden Entscheidung KZR 39/85 ("Lüsterbehang", BGHZ 102, 168) als maßgeblicher Ansatz zur sachlichen Marktabgrenzung im deutschen Kartellrecht etabliert. (bundesgerichtshof.de) Danach ist ein Markt von einem anderen sachlich abzugrenzen, wenn die betroffenen Produkte aus Sicht der Nachfrager nicht austauschbar sind — d. h. die Nachfrager würden bei einer Preiserhöhung des einen Produkts nicht in erheblichem Maß auf das andere Produkt ausweichen.</w:t>
      </w:r>
    </w:p>
    <w:p>
      <w:pPr>
        <w:jc w:val="left"/>
      </w:pPr>
      <w:r>
        <w:t>Der BGH hat dieses Konzept in einer langen Rechtsprechungslinie fortgeführt, zuletzt etwa in KVR 6/15 (Edeka/Tengelmann) und KVR 28/21. Der Gerichtshof betont, dass die Austauschbarkeit nicht nur rechtlich, sondern auch praktisch-wirtschaftlich beurteilt werden muss. Entscheidend ist die Perspektive der Marktgegenseite, d. h. der Nachfrager.</w:t>
      </w:r>
    </w:p>
    <w:p>
      <w:pPr>
        <w:jc w:val="left"/>
      </w:pPr>
      <w:r>
        <w:t>Für die Zwecke der Fusionskontrolle konkretisiert die EU-Kommissions-Bekanntmachung zur Marktdefinition (zuletzt ABl. C/2024/1645) diese Grundsätze und führt den SSNIP-Test als Operationalisierungswerkzeug ein. (EUR-Lex)</w:t>
      </w:r>
    </w:p>
    <w:p>
      <w:pPr>
        <w:pStyle w:val="Heading3"/>
      </w:pPr>
      <w:r>
        <w:rPr>
          <w:rFonts w:ascii="Times New Roman" w:hAnsi="Times New Roman"/>
        </w:rPr>
        <w:t>1.2 SSNIP-Test — Grundstruktur</w:t>
      </w:r>
    </w:p>
    <w:p>
      <w:pPr>
        <w:jc w:val="left"/>
      </w:pPr>
      <w:r>
        <w:t>Der SSNIP-Test (Small but Significant Non-transitory Increase in Price — "Hypothetisches Monopolisten-Test") fragt:</w:t>
      </w:r>
    </w:p>
    <w:p>
      <w:pPr>
        <w:ind w:left="567"/>
      </w:pPr>
      <w:r>
        <w:rPr>
          <w:i/>
        </w:rPr>
        <w:t>Wäre es für einen hypothetischen Monopolisten profitabel, den Preis für das fragliche Produkt dauerhaft und nicht vorübergehend um 5–10 % zu erhöhen?</w:t>
      </w:r>
    </w:p>
    <w:p>
      <w:pPr>
        <w:jc w:val="left"/>
      </w:pPr>
      <w:r>
        <w:t>Falls die Preissteigerung aufgrund von Nachfrageabwanderung nicht profitabel wäre, muss der Markt um das Substitut erweitert werden. Der Test wird solange wiederholt, bis ein Marktbereich gefunden ist, in dem eine Preiserhöhung profitabel ist.</w:t>
      </w:r>
    </w:p>
    <w:p>
      <w:pPr>
        <w:jc w:val="left"/>
      </w:pPr>
      <w:r>
        <w:rPr>
          <w:b/>
        </w:rPr>
        <w:t>Bekannte Einschränkung (Cellophan-Fallacy):</w:t>
      </w:r>
      <w:r>
        <w:t xml:space="preserve"> Ist ein Produkt bereits von einem Monopolisten beherrscht und der Preis bereits monopolistisch überhöht, zeigt der SSNIP-Test wegen des verzerrten Ausgangspreisniveaus eine zu weite Marktabgrenzung. Hier ist der Preisabstimmungsvorwurf (Bußgeldverfahren, s. Aktenstück 14) zu beachten: Falls die Bahnbetonschwellen-Preise bereits durch das vermutete Kartell (2018–2021) überhöht waren, würde ein SSNIP-Test auf Basis des aktuellen Preisniveaus den Markt zu weit abgrenzen. Dies ist im Verfahren zu adressieren.</w:t>
      </w:r>
    </w:p>
    <w:p/>
    <w:p>
      <w:pPr>
        <w:pStyle w:val="Heading2"/>
      </w:pPr>
      <w:r>
        <w:rPr>
          <w:rFonts w:ascii="Times New Roman" w:hAnsi="Times New Roman"/>
        </w:rPr>
        <w:t>2. SSNIP-Analyse für Bahnbetonschwellen</w:t>
      </w:r>
    </w:p>
    <w:p>
      <w:pPr>
        <w:pStyle w:val="Heading3"/>
      </w:pPr>
      <w:r>
        <w:rPr>
          <w:rFonts w:ascii="Times New Roman" w:hAnsi="Times New Roman"/>
        </w:rPr>
        <w:t>2.1 Preisniveau und Preistreiber</w:t>
      </w:r>
    </w:p>
    <w:p>
      <w:pPr>
        <w:jc w:val="left"/>
      </w:pPr>
      <w:r>
        <w:t>Der Marktpreis für Standardspannbetonschwellen (Typ B 70 nach DIN EN 13230) lag 2025 bei ca. 38–44 EUR/Stück (ab Werk, abhängig von Laufzeit des Rahmenvertrags). Im DB-Rahmenvertrag 2024–2028 wurden Festpreise mit Eskalationsklauseln vereinbart.</w:t>
      </w:r>
    </w:p>
    <w:p>
      <w:pPr>
        <w:jc w:val="left"/>
      </w:pPr>
      <w:r>
        <w:t>Eine hypothetische 5-%-Erhöhung entspräche ca. 1,90–2,20 EUR/Stück. Bei einem Jahresbedarf von ca. 2,4 Mio. Schwellen für das DB-Netz bedeutet dies eine Mehrbelastung von ca. 4,6–5,3 Mio. EUR/Jahr für die DB AG.</w:t>
      </w:r>
    </w:p>
    <w:p>
      <w:pPr>
        <w:pStyle w:val="Heading3"/>
      </w:pPr>
      <w:r>
        <w:rPr>
          <w:rFonts w:ascii="Times New Roman" w:hAnsi="Times New Roman"/>
        </w:rPr>
        <w:t>2.2 Reaktionsspielraum der DB AG</w:t>
      </w:r>
    </w:p>
    <w:p>
      <w:pPr>
        <w:jc w:val="left"/>
      </w:pPr>
      <w:r>
        <w:t>Die Deutsche Bahn AG hat folgende theoretische Ausweichmöglichkeiten: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Ausweichoption</w:t>
            </w:r>
          </w:p>
        </w:tc>
        <w:tc>
          <w:tcPr>
            <w:tcW w:type="dxa" w:w="2268"/>
          </w:tcPr>
          <w:p>
            <w:r>
              <w:rPr>
                <w:rFonts w:ascii="Times New Roman" w:hAnsi="Times New Roman"/>
                <w:b/>
                <w:sz w:val="20"/>
              </w:rPr>
              <w:t>Kurzfristig umsetzbar?</w:t>
            </w:r>
          </w:p>
        </w:tc>
        <w:tc>
          <w:tcPr>
            <w:tcW w:type="dxa" w:w="2268"/>
          </w:tcPr>
          <w:p>
            <w:r>
              <w:rPr>
                <w:rFonts w:ascii="Times New Roman" w:hAnsi="Times New Roman"/>
                <w:b/>
                <w:sz w:val="20"/>
              </w:rPr>
              <w:t>Mittel-/langfristig?</w:t>
            </w:r>
          </w:p>
        </w:tc>
        <w:tc>
          <w:tcPr>
            <w:tcW w:type="dxa" w:w="2268"/>
          </w:tcPr>
          <w:p>
            <w:r>
              <w:rPr>
                <w:rFonts w:ascii="Times New Roman" w:hAnsi="Times New Roman"/>
                <w:b/>
                <w:sz w:val="20"/>
              </w:rPr>
              <w:t>Bewertung</w:t>
            </w:r>
          </w:p>
        </w:tc>
      </w:tr>
      <w:tr>
        <w:tc>
          <w:tcPr>
            <w:tcW w:type="dxa" w:w="2268"/>
          </w:tcPr>
          <w:p>
            <w:r>
              <w:rPr>
                <w:rFonts w:ascii="Times New Roman" w:hAnsi="Times New Roman"/>
                <w:sz w:val="20"/>
              </w:rPr>
              <w:t>Wechsel zu Holzschwellen</w:t>
            </w:r>
          </w:p>
        </w:tc>
        <w:tc>
          <w:tcPr>
            <w:tcW w:type="dxa" w:w="2268"/>
          </w:tcPr>
          <w:p>
            <w:r>
              <w:rPr>
                <w:rFonts w:ascii="Times New Roman" w:hAnsi="Times New Roman"/>
                <w:sz w:val="20"/>
              </w:rPr>
              <w:t>Nein (Kreosot-Beschränkung, Umbaukosten)</w:t>
            </w:r>
          </w:p>
        </w:tc>
        <w:tc>
          <w:tcPr>
            <w:tcW w:type="dxa" w:w="2268"/>
          </w:tcPr>
          <w:p>
            <w:r>
              <w:rPr>
                <w:rFonts w:ascii="Times New Roman" w:hAnsi="Times New Roman"/>
                <w:sz w:val="20"/>
              </w:rPr>
              <w:t>Eingeschränkt (Nebenstrecken)</w:t>
            </w:r>
          </w:p>
        </w:tc>
        <w:tc>
          <w:tcPr>
            <w:tcW w:type="dxa" w:w="2268"/>
          </w:tcPr>
          <w:p>
            <w:r>
              <w:rPr>
                <w:rFonts w:ascii="Times New Roman" w:hAnsi="Times New Roman"/>
                <w:sz w:val="20"/>
              </w:rPr>
              <w:t>Kein erheblicher Substitutionsdruck</w:t>
            </w:r>
          </w:p>
        </w:tc>
      </w:tr>
      <w:tr>
        <w:tc>
          <w:tcPr>
            <w:tcW w:type="dxa" w:w="2268"/>
          </w:tcPr>
          <w:p>
            <w:r>
              <w:rPr>
                <w:rFonts w:ascii="Times New Roman" w:hAnsi="Times New Roman"/>
                <w:sz w:val="20"/>
              </w:rPr>
              <w:t>Wechsel zu Stahlschwellen</w:t>
            </w:r>
          </w:p>
        </w:tc>
        <w:tc>
          <w:tcPr>
            <w:tcW w:type="dxa" w:w="2268"/>
          </w:tcPr>
          <w:p>
            <w:r>
              <w:rPr>
                <w:rFonts w:ascii="Times New Roman" w:hAnsi="Times New Roman"/>
                <w:sz w:val="20"/>
              </w:rPr>
              <w:t>Teilweise (Sonderstrecken)</w:t>
            </w:r>
          </w:p>
        </w:tc>
        <w:tc>
          <w:tcPr>
            <w:tcW w:type="dxa" w:w="2268"/>
          </w:tcPr>
          <w:p>
            <w:r>
              <w:rPr>
                <w:rFonts w:ascii="Times New Roman" w:hAnsi="Times New Roman"/>
                <w:sz w:val="20"/>
              </w:rPr>
              <w:t>Nein (Kostennachteil, Lärmvorschriften)</w:t>
            </w:r>
          </w:p>
        </w:tc>
        <w:tc>
          <w:tcPr>
            <w:tcW w:type="dxa" w:w="2268"/>
          </w:tcPr>
          <w:p>
            <w:r>
              <w:rPr>
                <w:rFonts w:ascii="Times New Roman" w:hAnsi="Times New Roman"/>
                <w:sz w:val="20"/>
              </w:rPr>
              <w:t>Kein erheblicher Substitutionsdruck</w:t>
            </w:r>
          </w:p>
        </w:tc>
      </w:tr>
      <w:tr>
        <w:tc>
          <w:tcPr>
            <w:tcW w:type="dxa" w:w="2268"/>
          </w:tcPr>
          <w:p>
            <w:r>
              <w:rPr>
                <w:rFonts w:ascii="Times New Roman" w:hAnsi="Times New Roman"/>
                <w:sz w:val="20"/>
              </w:rPr>
              <w:t>Wechsel zu Verbundschwellen</w:t>
            </w:r>
          </w:p>
        </w:tc>
        <w:tc>
          <w:tcPr>
            <w:tcW w:type="dxa" w:w="2268"/>
          </w:tcPr>
          <w:p>
            <w:r>
              <w:rPr>
                <w:rFonts w:ascii="Times New Roman" w:hAnsi="Times New Roman"/>
                <w:sz w:val="20"/>
              </w:rPr>
              <w:t>Nein (fehlende DB-Zulassung für Hauptstrecken)</w:t>
            </w:r>
          </w:p>
        </w:tc>
        <w:tc>
          <w:tcPr>
            <w:tcW w:type="dxa" w:w="2268"/>
          </w:tcPr>
          <w:p>
            <w:r>
              <w:rPr>
                <w:rFonts w:ascii="Times New Roman" w:hAnsi="Times New Roman"/>
                <w:sz w:val="20"/>
              </w:rPr>
              <w:t>Nein (Kapazität der Hersteller minimal)</w:t>
            </w:r>
          </w:p>
        </w:tc>
        <w:tc>
          <w:tcPr>
            <w:tcW w:type="dxa" w:w="2268"/>
          </w:tcPr>
          <w:p>
            <w:r>
              <w:rPr>
                <w:rFonts w:ascii="Times New Roman" w:hAnsi="Times New Roman"/>
                <w:sz w:val="20"/>
              </w:rPr>
              <w:t>Kein erheblicher Substitutionsdruck</w:t>
            </w:r>
          </w:p>
        </w:tc>
      </w:tr>
      <w:tr>
        <w:tc>
          <w:tcPr>
            <w:tcW w:type="dxa" w:w="2268"/>
          </w:tcPr>
          <w:p>
            <w:r>
              <w:rPr>
                <w:rFonts w:ascii="Times New Roman" w:hAnsi="Times New Roman"/>
                <w:sz w:val="20"/>
              </w:rPr>
              <w:t>Import aus EU/EWR</w:t>
            </w:r>
          </w:p>
        </w:tc>
        <w:tc>
          <w:tcPr>
            <w:tcW w:type="dxa" w:w="2268"/>
          </w:tcPr>
          <w:p>
            <w:r>
              <w:rPr>
                <w:rFonts w:ascii="Times New Roman" w:hAnsi="Times New Roman"/>
                <w:sz w:val="20"/>
              </w:rPr>
              <w:t>Begrenzt (Transportkosten, Zulassung)</w:t>
            </w:r>
          </w:p>
        </w:tc>
        <w:tc>
          <w:tcPr>
            <w:tcW w:type="dxa" w:w="2268"/>
          </w:tcPr>
          <w:p>
            <w:r>
              <w:rPr>
                <w:rFonts w:ascii="Times New Roman" w:hAnsi="Times New Roman"/>
                <w:sz w:val="20"/>
              </w:rPr>
              <w:t>Mittel (wenn DB die Zulassung erweitert)</w:t>
            </w:r>
          </w:p>
        </w:tc>
        <w:tc>
          <w:tcPr>
            <w:tcW w:type="dxa" w:w="2268"/>
          </w:tcPr>
          <w:p>
            <w:r>
              <w:rPr>
                <w:rFonts w:ascii="Times New Roman" w:hAnsi="Times New Roman"/>
                <w:sz w:val="20"/>
              </w:rPr>
              <w:t>Potentieller Wettbewerb — mittel</w:t>
            </w:r>
          </w:p>
        </w:tc>
      </w:tr>
      <w:tr>
        <w:tc>
          <w:tcPr>
            <w:tcW w:type="dxa" w:w="2268"/>
          </w:tcPr>
          <w:p>
            <w:r>
              <w:rPr>
                <w:rFonts w:ascii="Times New Roman" w:hAnsi="Times New Roman"/>
                <w:sz w:val="20"/>
              </w:rPr>
              <w:t>Eigenproduktion</w:t>
            </w:r>
          </w:p>
        </w:tc>
        <w:tc>
          <w:tcPr>
            <w:tcW w:type="dxa" w:w="2268"/>
          </w:tcPr>
          <w:p>
            <w:r>
              <w:rPr>
                <w:rFonts w:ascii="Times New Roman" w:hAnsi="Times New Roman"/>
                <w:sz w:val="20"/>
              </w:rPr>
              <w:t>Nein</w:t>
            </w:r>
          </w:p>
        </w:tc>
        <w:tc>
          <w:tcPr>
            <w:tcW w:type="dxa" w:w="2268"/>
          </w:tcPr>
          <w:p>
            <w:r>
              <w:rPr>
                <w:rFonts w:ascii="Times New Roman" w:hAnsi="Times New Roman"/>
                <w:sz w:val="20"/>
              </w:rPr>
              <w:t>Nein (kein Interesse, Out-of-Scope)</w:t>
            </w:r>
          </w:p>
        </w:tc>
        <w:tc>
          <w:tcPr>
            <w:tcW w:type="dxa" w:w="2268"/>
          </w:tcPr>
          <w:p>
            <w:r>
              <w:rPr>
                <w:rFonts w:ascii="Times New Roman" w:hAnsi="Times New Roman"/>
                <w:sz w:val="20"/>
              </w:rPr>
              <w:t>Nicht relevant</w:t>
            </w:r>
          </w:p>
        </w:tc>
      </w:tr>
    </w:tbl>
    <w:p>
      <w:pPr>
        <w:jc w:val="left"/>
      </w:pPr>
      <w:r>
        <w:rPr>
          <w:b/>
        </w:rPr>
        <w:t>Zwischenergebnis:</w:t>
      </w:r>
      <w:r>
        <w:t xml:space="preserve"> Wegen der geringen Ausweichmöglichkeiten würde ein hypothetischer Monopolist eine 5-%-Preiserhöhung für Bahnbetonschwellen profitabel durchsetzen können. Der SSNIP-Test bestätigt: Bahnbetonschwellen bilden einen eigenständigen sachlichen Markt. Substitution durch andere Schienenbauprodukte findet im relevanten Zeithorizont nicht in erheblichem Maß statt.</w:t>
      </w:r>
    </w:p>
    <w:p>
      <w:pPr>
        <w:pStyle w:val="Heading3"/>
      </w:pPr>
      <w:r>
        <w:rPr>
          <w:rFonts w:ascii="Times New Roman" w:hAnsi="Times New Roman"/>
        </w:rPr>
        <w:t>2.3 Angebotssubstitution</w:t>
      </w:r>
    </w:p>
    <w:p>
      <w:pPr>
        <w:jc w:val="left"/>
      </w:pPr>
      <w:r>
        <w:t>Neben der Nachfragesubstitution prüft die Kommissionsbekanntmachung auch die Angebotssubstitution: Könnten Hersteller anderer Betonprodukte kurzfristig (innerhalb von Monaten) auf die Produktion von Bahnbetonschwellen umstellen, ohne erhebliche Zusatzinvestitionen?</w:t>
      </w:r>
    </w:p>
    <w:p>
      <w:pPr>
        <w:pStyle w:val="ListBullet"/>
      </w:pPr>
      <w:r>
        <w:t>Allgemeine Betonfertigteilhersteller: Keine DB-Zulassung, keine Hochfrequenzpressen für Spannbeton, kein Qualitätsmanagementsystem nach DIN EN 13230. Umrüstungszeit: mindestens 2–3 Jahre.</w:t>
      </w:r>
    </w:p>
    <w:p>
      <w:pPr>
        <w:pStyle w:val="ListBullet"/>
      </w:pPr>
      <w:r>
        <w:t>Zementwerk mit Betoneigenproduktion: Ebenfalls keine Zulassung; technologisch zu weit entfernt.</w:t>
      </w:r>
    </w:p>
    <w:p>
      <w:pPr>
        <w:pStyle w:val="ListBullet"/>
      </w:pPr>
      <w:r>
        <w:t xml:space="preserve">Angebotssubstitution ist </w:t>
      </w:r>
      <w:r>
        <w:rPr>
          <w:b/>
        </w:rPr>
        <w:t>nicht</w:t>
      </w:r>
      <w:r>
        <w:t xml:space="preserve"> kurzfristig möglich.</w:t>
      </w:r>
    </w:p>
    <w:p/>
    <w:p>
      <w:pPr>
        <w:pStyle w:val="Heading2"/>
      </w:pPr>
      <w:r>
        <w:rPr>
          <w:rFonts w:ascii="Times New Roman" w:hAnsi="Times New Roman"/>
        </w:rPr>
        <w:t>3. Kritische Würdigung — Cellophan-Fallacy-Risiko</w:t>
      </w:r>
    </w:p>
    <w:p>
      <w:pPr>
        <w:jc w:val="left"/>
      </w:pPr>
      <w:r>
        <w:t>Das BKartA und die Kommission werden angesichts des parallel laufenden Bußgeldverfahrens zu Preisabsprachen 2018–2021 aufmerksam prüfen, ob der aktuelle Marktpreis bereits durch das vermutete Kartell verzerrt ist. Falls die Preise zwischen 2018 und 2021 um 8–15 % künstlich erhöht wurden (Schätzung aus Aktenstück 14), müsste der SSNIP-Test auf ein "kontrafaktisches" Preisniveau (wettbewerblicher Preis ohne Kartelläberhöhung) angewendet werden.</w:t>
      </w:r>
    </w:p>
    <w:p>
      <w:pPr>
        <w:jc w:val="left"/>
      </w:pPr>
      <w:r>
        <w:t>Dies würde tendenziell den Markt enger abgrenzen, weil bei wettbewerblichen Preisen die Substituierbarkeit noch geringer wäre. Die Cellophan-Fallacy spricht hier im Ergebnis für eine enge Marktabgrenzung.</w:t>
      </w:r>
    </w:p>
    <w:p/>
    <w:p>
      <w:pPr>
        <w:pStyle w:val="Heading2"/>
      </w:pPr>
      <w:r>
        <w:rPr>
          <w:rFonts w:ascii="Times New Roman" w:hAnsi="Times New Roman"/>
        </w:rPr>
        <w:t>4. Ergebnis</w:t>
      </w:r>
    </w:p>
    <w:p>
      <w:pPr>
        <w:jc w:val="left"/>
      </w:pPr>
      <w:r>
        <w:t>Der SSNIP-Test bestätigt die enge sachliche Marktabgrenzung "Bahnbetonschwellen (Spannbetonschwellen) für Vollbahn". Die Nachfragesubstitution zu Holz-, Stahl- und Verbundschwellen ist aufgrund technischer, regulatorischer und wirtschaftlicher Hürden nicht ausreichend. Die Angebotssubstitution durch andere Betonhersteller ist kurzfristig nicht möglich. Das Bedarfsmarktkonzept des BGH (KZR 39/85) und der Bekanntmachung der Kommission (ABl. C/2024/1645) führen zur selben Abgrenzung.</w:t>
      </w:r>
    </w:p>
    <w:p>
      <w:pPr>
        <w:jc w:val="left"/>
      </w:pPr>
      <w:r>
        <w:t xml:space="preserve">Post-Merger-Marktanteil GBW + TBA bei dieser Abgrenzung: ca. </w:t>
      </w:r>
      <w:r>
        <w:rPr>
          <w:b/>
        </w:rPr>
        <w:t>57 % (DE)</w:t>
      </w:r>
      <w:r>
        <w:t>.</w:t>
      </w:r>
    </w:p>
    <w:p/>
    <w:p>
      <w:pPr>
        <w:pStyle w:val="Heading2"/>
      </w:pPr>
      <w:r>
        <w:rPr>
          <w:rFonts w:ascii="Times New Roman" w:hAnsi="Times New Roman"/>
        </w:rPr>
        <w:t>Quellen</w:t>
      </w:r>
    </w:p>
    <w:p>
      <w:pPr>
        <w:pStyle w:val="ListBullet"/>
      </w:pPr>
      <w:r>
        <w:t>BGH KZR 39/85 "Lüsterbehang": bundesgerichtshof.de; openjur.de</w:t>
      </w:r>
    </w:p>
    <w:p>
      <w:pPr>
        <w:pStyle w:val="ListBullet"/>
      </w:pPr>
      <w:r>
        <w:t>Kommissionsbekanntmachung zur Marktdefinition (ABl. C/2024/1645): EUR-Lex</w:t>
      </w:r>
    </w:p>
    <w:p>
      <w:pPr>
        <w:pStyle w:val="ListBullet"/>
      </w:pPr>
      <w:r>
        <w:t>§ 18 Abs. 1 GWB: dejure.org/gesetze/GWB/18.html</w:t>
      </w:r>
    </w:p>
    <w:p>
      <w:pPr>
        <w:pStyle w:val="ListBullet"/>
      </w:pPr>
      <w:r>
        <w:t>Art. 2 Abs. 1 FKVO 139/2004: EUR-Lex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