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Räumliche Marktabgrenzung — Deutschland vs. EWR</w:t>
      </w:r>
    </w:p>
    <w:p>
      <w:pPr>
        <w:jc w:val="left"/>
      </w:pPr>
      <w:r>
        <w:t>Datum: 27. Februar 2026</w:t>
      </w:r>
    </w:p>
    <w:p>
      <w:pPr>
        <w:jc w:val="left"/>
      </w:pPr>
      <w:r>
        <w:t>Bearbeiter: RAin Dr. Annette van Hove (Brüssel), Prof. Dr. Cornelius Friedrich Schwertbeck</w:t>
      </w:r>
    </w:p>
    <w:p>
      <w:pPr>
        <w:jc w:val="left"/>
      </w:pPr>
      <w:r>
        <w:t>Aktenzeichen: SW/2026/KA-0318 | BKartA B6-188-26 | EU COMP M.92188</w:t>
      </w:r>
    </w:p>
    <w:p/>
    <w:p>
      <w:pPr>
        <w:pStyle w:val="Heading2"/>
      </w:pPr>
      <w:r>
        <w:rPr>
          <w:rFonts w:ascii="Times New Roman" w:hAnsi="Times New Roman"/>
        </w:rPr>
        <w:t>1. Bedeutung der räumlichen Abgrenzung</w:t>
      </w:r>
    </w:p>
    <w:p>
      <w:pPr>
        <w:jc w:val="left"/>
      </w:pPr>
      <w:r>
        <w:t>Die räumliche Marktabgrenzung ist im vorliegenden Verfahren von herausragender strategischer Bedeutung, weil sie unmittelbar über die Marktanteile und damit über die Marktbeherrschungsfrage entscheidet: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Räumlicher Markt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Post-Merger-Marktanteil GBW + TBA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Deutschland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57 %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EWR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15 %</w:t>
            </w:r>
          </w:p>
        </w:tc>
      </w:tr>
    </w:tbl>
    <w:p>
      <w:pPr>
        <w:jc w:val="left"/>
      </w:pPr>
      <w:r>
        <w:t>Bei einer EWR-weiten Abgrenzung entfiele die Marktbeherrschungsvermutung vollständig. Die Mandantin hat ein starkes Interesse daran, für eine EWR-weite Abgrenzung zu argumentieren.</w:t>
      </w:r>
    </w:p>
    <w:p/>
    <w:p>
      <w:pPr>
        <w:pStyle w:val="Heading2"/>
      </w:pPr>
      <w:r>
        <w:rPr>
          <w:rFonts w:ascii="Times New Roman" w:hAnsi="Times New Roman"/>
        </w:rPr>
        <w:t>2. Rechtlicher Rahmen</w:t>
      </w:r>
    </w:p>
    <w:p>
      <w:pPr>
        <w:pStyle w:val="Heading3"/>
      </w:pPr>
      <w:r>
        <w:rPr>
          <w:rFonts w:ascii="Times New Roman" w:hAnsi="Times New Roman"/>
        </w:rPr>
        <w:t>2.1 GWB-Verfahren</w:t>
      </w:r>
    </w:p>
    <w:p>
      <w:pPr>
        <w:jc w:val="left"/>
      </w:pPr>
      <w:r>
        <w:t>Das Bundeskartellamt wendet für die räumliche Marktabgrenzung dieselben Grundsätze an wie für die sachliche: Bedarfsmarktkonzept, SSNIP-Test, Analyse der Handelsmuster und des Wettbewerbsdrucks. § 18 Abs. 1 GWB spricht von einem "bestimmten Markt" ohne geografische Einschränkung. (dejure.org/gesetze/GWB/18.html)</w:t>
      </w:r>
    </w:p>
    <w:p>
      <w:pPr>
        <w:jc w:val="left"/>
      </w:pPr>
      <w:r>
        <w:t>Das BKartA hat in früheren Entscheidungen zu Baumaterialien und Transportinfrastrukturprodukten häufig nationale Märkte definiert, wenn (i) Transportkosten prohibitiv sind, (ii) länderspezifische technische Normen dominieren und (iii) Zulassungsregimes national ausgestaltet sind.</w:t>
      </w:r>
    </w:p>
    <w:p>
      <w:pPr>
        <w:pStyle w:val="Heading3"/>
      </w:pPr>
      <w:r>
        <w:rPr>
          <w:rFonts w:ascii="Times New Roman" w:hAnsi="Times New Roman"/>
        </w:rPr>
        <w:t>2.2 FKVO/EU-Verfahren</w:t>
      </w:r>
    </w:p>
    <w:p>
      <w:pPr>
        <w:jc w:val="left"/>
      </w:pPr>
      <w:r>
        <w:t>Im EU-Verfahren legt die Kommission die räumliche Abgrenzung eigenständig fest. In der FKVO-Praxis für Bahnzubehörprodukte hat die Kommission in M.3216 (Rhodia/Albright &amp; Wilson) und M.4694 (Eurocement/Readymix) unterschiedliche Ansätze verfolgt — teils nationale, teils EWR-weite Abgrenzungen, abhängig von den konkreten Handelsdaten.</w:t>
      </w:r>
    </w:p>
    <w:p/>
    <w:p>
      <w:pPr>
        <w:pStyle w:val="Heading2"/>
      </w:pPr>
      <w:r>
        <w:rPr>
          <w:rFonts w:ascii="Times New Roman" w:hAnsi="Times New Roman"/>
        </w:rPr>
        <w:t>3. Analyse der Handelsmuster</w:t>
      </w:r>
    </w:p>
    <w:p>
      <w:pPr>
        <w:pStyle w:val="Heading3"/>
      </w:pPr>
      <w:r>
        <w:rPr>
          <w:rFonts w:ascii="Times New Roman" w:hAnsi="Times New Roman"/>
        </w:rPr>
        <w:t>3.1 Exporte aus Deutschland in andere EWR-Staaten</w:t>
      </w:r>
    </w:p>
    <w:p>
      <w:pPr>
        <w:pStyle w:val="ListBullet"/>
      </w:pPr>
      <w:r>
        <w:t>GBW exportiert ca. 22 % seines Umsatzes in die Niederlande und Belgien (über GBW Nederland B.V.).</w:t>
      </w:r>
    </w:p>
    <w:p>
      <w:pPr>
        <w:pStyle w:val="ListBullet"/>
      </w:pPr>
      <w:r>
        <w:t>TBA exportiert ca. 11 % seines Umsatzes in die Niederlande.</w:t>
      </w:r>
    </w:p>
    <w:p>
      <w:pPr>
        <w:pStyle w:val="ListBullet"/>
      </w:pPr>
      <w:r>
        <w:t>Dritte DE-Hersteller (Rehme, Lausitz): weniger als 5 % Exportquote.</w:t>
      </w:r>
    </w:p>
    <w:p>
      <w:pPr>
        <w:jc w:val="left"/>
      </w:pPr>
      <w:r>
        <w:t>Exporte gehen überwiegend an grenznahe Infrastrukturbetreiber (ProRail NL, Infrabel BE). Der durchschnittliche Transportradius ist wirtschaftlich auf ca. 500 km begrenzt.</w:t>
      </w:r>
    </w:p>
    <w:p>
      <w:pPr>
        <w:pStyle w:val="Heading3"/>
      </w:pPr>
      <w:r>
        <w:rPr>
          <w:rFonts w:ascii="Times New Roman" w:hAnsi="Times New Roman"/>
        </w:rPr>
        <w:t>3.2 Importe nach Deutschland</w:t>
      </w:r>
    </w:p>
    <w:p>
      <w:pPr>
        <w:jc w:val="left"/>
      </w:pPr>
      <w:r>
        <w:t>Importe aus anderen EWR-Staaten nach Deutschland: gering (&lt; 4 % des DE-Markts, vorwiegend österreichische und tschechische Hersteller für Spezialanwendungen). Hauptgrund: keine DB-Zulassung für die meisten ausländischen Produzenten.</w:t>
      </w:r>
    </w:p>
    <w:p>
      <w:pPr>
        <w:pStyle w:val="Heading3"/>
      </w:pPr>
      <w:r>
        <w:rPr>
          <w:rFonts w:ascii="Times New Roman" w:hAnsi="Times New Roman"/>
        </w:rPr>
        <w:t>3.3 Preisunterschiede zwischen Ländern</w:t>
      </w:r>
    </w:p>
    <w:p>
      <w:pPr>
        <w:jc w:val="left"/>
      </w:pPr>
      <w:r>
        <w:t>Preise für Standardspannbetonschwellen weisen erhebliche nationale Differenzen auf: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Markt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Preis (Schätzung, EUR/Stück, 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Deutschland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38–44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Niederlande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34–39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Belgien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33–38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Frankreich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31–36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Großbritannien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36–42 (GBP-Äquivalent)</w:t>
            </w:r>
          </w:p>
        </w:tc>
      </w:tr>
    </w:tbl>
    <w:p>
      <w:pPr>
        <w:jc w:val="left"/>
      </w:pPr>
      <w:r>
        <w:t>Preisunterschiede von 10–20 % zwischen DE und Benelux-Märkten trotz geografischer Nähe sprechen gegen einen integrierten EWR-Markt.</w:t>
      </w:r>
    </w:p>
    <w:p/>
    <w:p>
      <w:pPr>
        <w:pStyle w:val="Heading2"/>
      </w:pPr>
      <w:r>
        <w:rPr>
          <w:rFonts w:ascii="Times New Roman" w:hAnsi="Times New Roman"/>
        </w:rPr>
        <w:t>4. Argumente für nationale Marktabgrenzung (Deutschland)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DB-Lieferantenzulassung national ausgestaltet; ausländische Hersteller ohne DB-Zulassung faktisch vom DE-Markt ausgeschlossen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Transportkosten limitieren wirtschaftlichen Lieferradius auf ca. 400–600 km; deutsch-französische Grenze ist Transportbarriere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DIN-Normen für deutsche Hauptstrecken abweichend von EN-Normen bei Hochleistungsanwendungen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Historisch nationaler Beschaffungsmarkt; DB-Rahmenverträge werden national ausgeschrieben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Preisunterschiede zwischen DE und Benelux-Märkten deutlich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4.1 Parallele aus der BKartA-Praxis</w:t>
      </w:r>
    </w:p>
    <w:p>
      <w:pPr>
        <w:jc w:val="left"/>
      </w:pPr>
      <w:r>
        <w:t>In einem ähnlich gelagerten Fall (B6-67/14-T/17 — "Weichenanlagen") hat das BKartA einen nationalen Markt für Bahnweichenanlagen in Deutschland definiert, obwohl die Produkte grundsätzlich im EWR handelbar wären. Die Begründung stützte sich auf länderspezifische Zulassungsregimes und Rahmenvertragsstrukturen.</w:t>
      </w:r>
    </w:p>
    <w:p/>
    <w:p>
      <w:pPr>
        <w:pStyle w:val="Heading2"/>
      </w:pPr>
      <w:r>
        <w:rPr>
          <w:rFonts w:ascii="Times New Roman" w:hAnsi="Times New Roman"/>
        </w:rPr>
        <w:t>5. Argumente für EWR-weite Marktabgrenzung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Argument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GBW liefert tatsächlich in NL und BE — faktischer grenzüberschreitender Handel vorhanden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DIN EN 13230 ist harmonisierte EU-Norm — formale Interoperabilität besteht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Schwach (DE-Zusatzanforderungen dominieren)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ProRail-Ausschreibungen sind grundsätzlich EWR-offen (EU-Vergaberichtlinien)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Schwach (faktisch wenige NL-interne Anbieter)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EWR-Abgrenzung: Post-Merger-Marktanteil nur ca. 15 % — wettbewerblich unproblematisch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Strategisches Interesse, aber kein objektives Argument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Empfehlung und Verfahrensstrategie</w:t>
      </w:r>
    </w:p>
    <w:p>
      <w:pPr>
        <w:jc w:val="left"/>
      </w:pPr>
      <w:r>
        <w:t xml:space="preserve">Die objektiven Marktdaten sprechen für eine </w:t>
      </w:r>
      <w:r>
        <w:rPr>
          <w:b/>
        </w:rPr>
        <w:t>nationale Marktabgrenzung Deutschland</w:t>
      </w:r>
      <w:r>
        <w:t>. Die Kanzlei empfiehlt, dies im Anmeldungsformular offen anzusprechen und keine unglaubwürdige EWR-Abgrenzung zu behaupten. Stattdessen sollten die Argumente für Wettbewerbsdruck aus dem EWR (potentieller Wettbewerb, DB-Vergabepraxis) als qualitative Einwände gegen Marktbeherrschung eingebracht werden — nicht als Marktabgrenzungsargument.</w:t>
      </w:r>
    </w:p>
    <w:p>
      <w:pPr>
        <w:jc w:val="left"/>
      </w:pPr>
      <w:r>
        <w:t>Im EU-Parallelverfahren (COMP M.92188) wird die Kommission eine eigenständige Abgrenzung vornehmen. Die Brüssel-Kanzlei koordiniert, um widersprüchliche Darstellungen gegenüber BKartA und Kommission zu vermeiden.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18 Abs. 1 GWB: dejure.org/gesetze/GWB/18.html</w:t>
      </w:r>
    </w:p>
    <w:p>
      <w:pPr>
        <w:pStyle w:val="ListBullet"/>
      </w:pPr>
      <w:r>
        <w:t>Art. 2 Abs. 1 lit. a FKVO 139/2004: EUR-Lex</w:t>
      </w:r>
    </w:p>
    <w:p>
      <w:pPr>
        <w:pStyle w:val="ListBullet"/>
      </w:pPr>
      <w:r>
        <w:t>Kommissionsbekanntmachung zur Marktdefinition (ABl. C/2024/1645): EUR-Lex</w:t>
      </w:r>
    </w:p>
    <w:p>
      <w:pPr>
        <w:pStyle w:val="ListBullet"/>
      </w:pPr>
      <w:r>
        <w:t>DIN EN 13230 (Betonschwellen): Beuth Verlag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