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Marktanteile — Grosskopf, Tannenheim und Drittwettbewerber</w:t>
      </w:r>
    </w:p>
    <w:p>
      <w:pPr>
        <w:jc w:val="left"/>
      </w:pPr>
      <w:r>
        <w:t>Datum: 03. März 2026</w:t>
      </w:r>
    </w:p>
    <w:p>
      <w:pPr>
        <w:jc w:val="left"/>
      </w:pPr>
      <w:r>
        <w:t>Bearbeiter: RA Stefan Brinkmeier</w:t>
      </w:r>
    </w:p>
    <w:p>
      <w:pPr>
        <w:jc w:val="left"/>
      </w:pPr>
      <w:r>
        <w:t>Aktenzeichen: SW/2026/KA-0318 | BKartA B6-188-26</w:t>
      </w:r>
    </w:p>
    <w:p/>
    <w:p>
      <w:pPr>
        <w:pStyle w:val="Heading2"/>
      </w:pPr>
      <w:r>
        <w:rPr>
          <w:rFonts w:ascii="Times New Roman" w:hAnsi="Times New Roman"/>
        </w:rPr>
        <w:t>1. Datenbasis und Methodenhinweis</w:t>
      </w:r>
    </w:p>
    <w:p>
      <w:pPr>
        <w:jc w:val="left"/>
      </w:pPr>
      <w:r>
        <w:t>Die folgenden Marktanteilsberechnungen basieren auf:</w:t>
      </w:r>
    </w:p>
    <w:p>
      <w:pPr>
        <w:pStyle w:val="ListBullet"/>
      </w:pPr>
      <w:r>
        <w:t>Eigenauskünften der Mandantin GBW (geprüfte Jahresabschlussdaten 2025)</w:t>
      </w:r>
    </w:p>
    <w:p>
      <w:pPr>
        <w:pStyle w:val="ListBullet"/>
      </w:pPr>
      <w:r>
        <w:t>Angaben der Zielgesellschaft TBA gemäß Datenraum-Zugang (Due Diligence, Stand 10.02.2026)</w:t>
      </w:r>
    </w:p>
    <w:p>
      <w:pPr>
        <w:pStyle w:val="ListBullet"/>
      </w:pPr>
      <w:r>
        <w:t>Öffentlich verfügbaren Berichten der DB InfraGO AG (Geschäftsbericht 2024)</w:t>
      </w:r>
    </w:p>
    <w:p>
      <w:pPr>
        <w:pStyle w:val="ListBullet"/>
      </w:pPr>
      <w:r>
        <w:t>Schätzungen der Kanzlei auf Basis von Brancheninformationen (Verband der Deutschen Bauwirtschaft, VDB-Studie Bahntechnik 2025)</w:t>
      </w:r>
    </w:p>
    <w:p>
      <w:pPr>
        <w:jc w:val="left"/>
      </w:pPr>
      <w:r>
        <w:t>Sämtliche Umsatz- und Anteilsangaben sind Schätzungen und unterliegen der Prüfung durch das BKartA im Rahmen der Anmeldung. Das BKartA wird eigene Marktbefragungen durchführen (§ 39 Abs. 2 GWB).</w:t>
      </w:r>
    </w:p>
    <w:p/>
    <w:p>
      <w:pPr>
        <w:pStyle w:val="Heading2"/>
      </w:pPr>
      <w:r>
        <w:rPr>
          <w:rFonts w:ascii="Times New Roman" w:hAnsi="Times New Roman"/>
        </w:rPr>
        <w:t>2. Marktanteile Deutschland — Bahnbetonschwellen 2025</w:t>
      </w:r>
    </w:p>
    <w:p>
      <w:pPr>
        <w:pStyle w:val="Heading3"/>
      </w:pPr>
      <w:r>
        <w:rPr>
          <w:rFonts w:ascii="Times New Roman" w:hAnsi="Times New Roman"/>
        </w:rPr>
        <w:t>2.1 Hauptanbieter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Unternehmen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Umsatz DE 2025 (Mio.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Marktanteil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Grosskopf Betonwerk Westfalen GmbH (GBW)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58,1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38,0 %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Tannenheim Betonelemente AG (TBA)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29,1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19,0 %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Rehme Bahnbau GmbH &amp; Co. 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27,5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18,0 %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Schienenwerk Lausitz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18,4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12,0 %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inländische Anbieter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5,5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3,6 %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Importe (AT, CZ, PL)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14,4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9,4 %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Marktvolumen 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153,0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Post-Merger-Szenario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Kombinierter Marktanteil GBW + TBA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57,0 %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Nächstgrößter Wettbewerber (Rehme)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18,0 %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Abstand zu Rehme (Marktanteilsdifferenz)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39 Prozentpunkte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HHI pre-merger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2.250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HHI post-merger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3.810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HHI-Delta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1.560</w:t>
            </w:r>
          </w:p>
        </w:tc>
      </w:tr>
    </w:tbl>
    <w:p>
      <w:pPr>
        <w:jc w:val="left"/>
      </w:pPr>
      <w:r>
        <w:rPr>
          <w:b/>
        </w:rPr>
        <w:t>Herfindahl-Hirschman-Index (HHI):</w:t>
      </w:r>
      <w:r>
        <w:t xml:space="preserve"> Der HHI übersteigt nach dem Zusammenschluss 2.500 (Schwelle für "hochkonzentrierte Märkte" nach den EU-Horizontalleitlinien) und der Delta-HHI übersteigt 150. Dies löst gemäß den EU-Horizontalleitlinien (Ziff. 19 f.) die Vermutung erheblicher Wettbewerbsbedenken aus.</w:t>
      </w:r>
    </w:p>
    <w:p/>
    <w:p>
      <w:pPr>
        <w:pStyle w:val="Heading2"/>
      </w:pPr>
      <w:r>
        <w:rPr>
          <w:rFonts w:ascii="Times New Roman" w:hAnsi="Times New Roman"/>
        </w:rPr>
        <w:t>3. Marktanteile EWR — Bahnbetonschwellen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Region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Marktvolumen (Mio. 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GBW-Anteil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TBA-Anteil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Kombiniert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Deutschland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153,0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38,0 %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19,0 %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57,0 %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Niederlande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31,0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37,4 %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7,7 %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45,2 %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Belgien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22,0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20,9 %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5,9 %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26,8 %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Frankreich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98,0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Skandinavien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54,0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Sonstige EWR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243,0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&lt; 1 %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&lt; 1 %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EWR gesamt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601,0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10,8 %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4,8 %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15,6 %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Entwicklung der Marktanteile 2020–2025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GBW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TBA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Rehme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Lausitz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Sonstige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36 %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11 %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11 %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11 %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2025 (vorläufig)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13 %</w:t>
            </w:r>
          </w:p>
        </w:tc>
      </w:tr>
    </w:tbl>
    <w:p>
      <w:pPr>
        <w:jc w:val="left"/>
      </w:pPr>
      <w:r>
        <w:rPr>
          <w:b/>
        </w:rPr>
        <w:t>Tendenz:</w:t>
      </w:r>
      <w:r>
        <w:t xml:space="preserve"> TBA verliert leicht Marktanteile (von 23 % auf 19 % in 5 Jahren); GBW ist stabil. Dies ist ein Indiz für nachlassende Wettbewerbsfähigkeit von TBA (Hauptargument für die Failing-Firm-Defense, die in Aktenstück 17 geprüft wird).</w:t>
      </w:r>
    </w:p>
    <w:p/>
    <w:p>
      <w:pPr>
        <w:pStyle w:val="Heading2"/>
      </w:pPr>
      <w:r>
        <w:rPr>
          <w:rFonts w:ascii="Times New Roman" w:hAnsi="Times New Roman"/>
        </w:rPr>
        <w:t>5. Marktanteile nach Produktuntergruppen</w:t>
      </w:r>
    </w:p>
    <w:p>
      <w:pPr>
        <w:pStyle w:val="Heading3"/>
      </w:pPr>
      <w:r>
        <w:rPr>
          <w:rFonts w:ascii="Times New Roman" w:hAnsi="Times New Roman"/>
        </w:rPr>
        <w:t>5.1 Standardspannbetonschwellen (Vollbahn, Typ B 70)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Unternehmen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Marktanteil 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GBW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36 %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TBA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11 %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5.2 Weichenschwellen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Unternehmen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Marktanteil 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GBW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TBA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0 % (kein Weichenschwellenangebot)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5 %</w:t>
            </w:r>
          </w:p>
        </w:tc>
      </w:tr>
    </w:tbl>
    <w:p>
      <w:pPr>
        <w:jc w:val="left"/>
      </w:pPr>
      <w:r>
        <w:rPr>
          <w:b/>
        </w:rPr>
        <w:t>Hinweis:</w:t>
      </w:r>
      <w:r>
        <w:t xml:space="preserve"> Bei Weichenschwellen ist GBW bereits Marktführer ohne TBA. Ein Zusammenschluss ändert den Marktanteil bei Weichenschwellen nicht. Dieser Teilmarkt ist separat zu behandeln.</w:t>
      </w:r>
    </w:p>
    <w:p>
      <w:pPr>
        <w:pStyle w:val="Heading3"/>
      </w:pPr>
      <w:r>
        <w:rPr>
          <w:rFonts w:ascii="Times New Roman" w:hAnsi="Times New Roman"/>
        </w:rPr>
        <w:t>5.3 Brückenschwellen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Unternehmen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Marktanteil 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GBW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72 %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Schienenwerk Lausitz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Importe (AT)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TBA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</w:tbl>
    <w:p>
      <w:pPr>
        <w:jc w:val="left"/>
      </w:pPr>
      <w:r>
        <w:t>GBW ist bereits Quasi-Monopolist bei Brückenschwellen — auch ohne TBA. Dieser Teilmarkt wird das BKartA separat beleuchten und könnte zu einer Auflagenverhandlung führen.</w:t>
      </w:r>
    </w:p>
    <w:p/>
    <w:p>
      <w:pPr>
        <w:pStyle w:val="Heading2"/>
      </w:pPr>
      <w:r>
        <w:rPr>
          <w:rFonts w:ascii="Times New Roman" w:hAnsi="Times New Roman"/>
        </w:rPr>
        <w:t>6. Relativer Marktanteil und Marktstruktur-Kennzahlen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Pre-Merger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Post-Merger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C1 (größter Anbieter)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38 % (GBW)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57 % (GBW+TBA)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C2 (zwei größte)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57 % (GBW+TBA)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75 % (GBW+TBA+Rehme)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C3 (drei größte)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87 %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HHI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2.250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3.810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Verhältnis Marktführer zu Verfolger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: 0,50 (TBA)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: 0,32 (Rehme)</w:t>
            </w:r>
          </w:p>
        </w:tc>
      </w:tr>
    </w:tbl>
    <w:p>
      <w:pPr>
        <w:jc w:val="left"/>
      </w:pPr>
      <w:r>
        <w:t>Nach dem Zusammenschluss ist der kombinierte Marktanteil mehr als dreimal so hoch wie der des nächsten Wettbewerbers. Dies ist ein Indiz für eine aus dem Zusammenschluss entstehende marktbeherrschende Stellung.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36 Abs. 1 GWB (SIEC-Test Deutschland): dejure.org/gesetze/GWB/36.html</w:t>
      </w:r>
    </w:p>
    <w:p>
      <w:pPr>
        <w:pStyle w:val="ListBullet"/>
      </w:pPr>
      <w:r>
        <w:t>Art. 2 FKVO 139/2004 (SIEC-Test EU): EUR-Lex</w:t>
      </w:r>
    </w:p>
    <w:p>
      <w:pPr>
        <w:pStyle w:val="ListBullet"/>
      </w:pPr>
      <w:r>
        <w:t>Kommissions-Horizontalleitlinien (ABl. C 31/5 vom 05.02.2004): EUR-Lex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