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Marktbeherrschung — § 18 GWB und Art. 102 AEUV</w:t>
      </w:r>
    </w:p>
    <w:p>
      <w:pPr>
        <w:jc w:val="left"/>
      </w:pPr>
      <w:r>
        <w:t>Datum: 05. März 2026</w:t>
      </w:r>
    </w:p>
    <w:p>
      <w:pPr>
        <w:jc w:val="left"/>
      </w:pPr>
      <w:r>
        <w:t>Bearbeiter: Prof. Dr. Cornelius Friedrich Schwertbeck</w:t>
      </w:r>
    </w:p>
    <w:p>
      <w:pPr>
        <w:jc w:val="left"/>
      </w:pPr>
      <w:r>
        <w:t>Aktenzeichen: SW/2026/KA-0318 | BKartA B6-188-26</w:t>
      </w:r>
    </w:p>
    <w:p/>
    <w:p>
      <w:pPr>
        <w:pStyle w:val="Heading2"/>
      </w:pPr>
      <w:r>
        <w:rPr>
          <w:rFonts w:ascii="Times New Roman" w:hAnsi="Times New Roman"/>
        </w:rPr>
        <w:t>1. Prüfungsrahmen</w:t>
      </w:r>
    </w:p>
    <w:p>
      <w:pPr>
        <w:jc w:val="left"/>
      </w:pPr>
      <w:r>
        <w:t>Im Rahmen der Fusionskontrolle ist nicht Art. 102 AEUV direkt anwendbar (dieser sanktioniert den Missbrauch einer bestehenden marktbeherrschenden Stellung), sondern der SIEC-Test. Dennoch ist die Marktbeherrschungsdefinition des § 18 GWB und des Art. 102 AEUV der dogmatische Ausgangspunkt für die Bewertung, ob der Zusammenschluss zu einer marktbeherrschenden Stellung führt oder diese verstärkt (§ 36 Abs. 1 GWB / Art. 2 Abs. 3 FKVO).</w:t>
      </w:r>
    </w:p>
    <w:p>
      <w:pPr>
        <w:pStyle w:val="Heading3"/>
      </w:pPr>
      <w:r>
        <w:rPr>
          <w:rFonts w:ascii="Times New Roman" w:hAnsi="Times New Roman"/>
        </w:rPr>
        <w:t>1.1 § 18 GWB — Marktbeherrschung</w:t>
      </w:r>
    </w:p>
    <w:p>
      <w:pPr>
        <w:jc w:val="left"/>
      </w:pPr>
      <w:r>
        <w:t xml:space="preserve">§ 18 Abs. 1 GWB: Ein Unternehmen ist marktbeherrschend, soweit es als Anbieter oder Nachfrager einer bestimmten Art von Waren oder gewerblichen Leistungen auf dem sachlich und räumlich relevanten Markt </w:t>
      </w:r>
      <w:r>
        <w:rPr>
          <w:b/>
        </w:rPr>
        <w:t>ohne Wettbewerber ist</w:t>
      </w:r>
      <w:r>
        <w:t xml:space="preserve">, </w:t>
      </w:r>
      <w:r>
        <w:rPr>
          <w:b/>
        </w:rPr>
        <w:t>keinem wesentlichen Wettbewerb ausgesetzt ist</w:t>
      </w:r>
      <w:r>
        <w:t xml:space="preserve"> oder </w:t>
      </w:r>
      <w:r>
        <w:rPr>
          <w:b/>
        </w:rPr>
        <w:t>eine im Verhältnis zu seinen Wettbewerbern überragende Marktstellung</w:t>
      </w:r>
      <w:r>
        <w:t xml:space="preserve"> hat. (dejure.org/gesetze/GWB/18.html)</w:t>
      </w:r>
    </w:p>
    <w:p>
      <w:pPr>
        <w:jc w:val="left"/>
      </w:pPr>
      <w:r>
        <w:t>§ 18 Abs. 4 GWB: Bei einem Marktanteil von 40 % oder mehr wird die Marktbeherrschung vermutet. (dejure.org/gesetze/GWB/18.html)</w:t>
      </w:r>
    </w:p>
    <w:p>
      <w:pPr>
        <w:jc w:val="left"/>
      </w:pPr>
      <w:r>
        <w:t>§ 18 Abs. 6 GWB: Oligopolmarktbeherrschung (gemeinsame Beherrschung) — nicht direkt einschlägig, aber relevant für die Frage, ob GBW und Rehme nach dem Zusammenschluss ein Duopol bilden.</w:t>
      </w:r>
    </w:p>
    <w:p>
      <w:pPr>
        <w:pStyle w:val="Heading3"/>
      </w:pPr>
      <w:r>
        <w:rPr>
          <w:rFonts w:ascii="Times New Roman" w:hAnsi="Times New Roman"/>
        </w:rPr>
        <w:t>1.2 Art. 102 AEUV — Abgrenzung</w:t>
      </w:r>
    </w:p>
    <w:p>
      <w:pPr>
        <w:jc w:val="left"/>
      </w:pPr>
      <w:r>
        <w:t>Art. 102 AEUV untersagt den Missbrauch einer marktbeherrschenden Stellung, die auf dem Binnenmarkt oder einem wesentlichen Teil davon inne gehabt wird. (dejure.org/gesetze/AEUV/102.html) Im Fusionskontrollkontext ist Art. 102 AEUV Definitionshilfe, nicht direkt anwendbarer Verbotstatbestand.</w:t>
      </w:r>
    </w:p>
    <w:p/>
    <w:p>
      <w:pPr>
        <w:pStyle w:val="Heading2"/>
      </w:pPr>
      <w:r>
        <w:rPr>
          <w:rFonts w:ascii="Times New Roman" w:hAnsi="Times New Roman"/>
        </w:rPr>
        <w:t>2. Prüfung der Marktbeherrschung nach dem Zusammenschluss</w:t>
      </w:r>
    </w:p>
    <w:p>
      <w:pPr>
        <w:pStyle w:val="Heading3"/>
      </w:pPr>
      <w:r>
        <w:rPr>
          <w:rFonts w:ascii="Times New Roman" w:hAnsi="Times New Roman"/>
        </w:rPr>
        <w:t>2.1 Vermutungstatbestand § 18 Abs. 4 GWB</w:t>
      </w:r>
    </w:p>
    <w:p>
      <w:pPr>
        <w:jc w:val="left"/>
      </w:pPr>
      <w:r>
        <w:t xml:space="preserve">Post-Merger-Marktanteil GBW + TBA: ca. </w:t>
      </w:r>
      <w:r>
        <w:rPr>
          <w:b/>
        </w:rPr>
        <w:t>57 %</w:t>
      </w:r>
      <w:r>
        <w:t xml:space="preserve"> (bei nationaler Marktabgrenzung DE).</w:t>
      </w:r>
    </w:p>
    <w:p>
      <w:pPr>
        <w:jc w:val="left"/>
      </w:pPr>
      <w:r>
        <w:t>Die 40-%-Vermutungsgrenze des § 18 Abs. 4 GWB ist erheblich überschritten. Das kombinierte Unternehmen wird vermutet marktbeherrschend zu sein. Diese Vermutung ist widerlegbar, aber die Beweislast liegt bei der Mandantin.</w:t>
      </w:r>
    </w:p>
    <w:p>
      <w:pPr>
        <w:pStyle w:val="Heading3"/>
      </w:pPr>
      <w:r>
        <w:rPr>
          <w:rFonts w:ascii="Times New Roman" w:hAnsi="Times New Roman"/>
        </w:rPr>
        <w:t>2.2 Kriterien der überragenden Marktstellung</w:t>
      </w:r>
    </w:p>
    <w:p>
      <w:pPr>
        <w:jc w:val="left"/>
      </w:pPr>
      <w:r>
        <w:t>§ 18 Abs. 3 GWB nennt als Kriterien für die Beurteilung überragender Marktstellung:</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Kriterium</w:t>
            </w:r>
          </w:p>
        </w:tc>
        <w:tc>
          <w:tcPr>
            <w:tcW w:type="dxa" w:w="4536"/>
          </w:tcPr>
          <w:p>
            <w:r>
              <w:rPr>
                <w:rFonts w:ascii="Times New Roman" w:hAnsi="Times New Roman"/>
                <w:b/>
                <w:sz w:val="20"/>
              </w:rPr>
              <w:t>Bewertung für GBW + TBA post-merger</w:t>
            </w:r>
          </w:p>
        </w:tc>
      </w:tr>
      <w:tr>
        <w:tc>
          <w:tcPr>
            <w:tcW w:type="dxa" w:w="4536"/>
          </w:tcPr>
          <w:p>
            <w:r>
              <w:rPr>
                <w:rFonts w:ascii="Times New Roman" w:hAnsi="Times New Roman"/>
                <w:sz w:val="20"/>
              </w:rPr>
              <w:t>Marktanteil</w:t>
            </w:r>
          </w:p>
        </w:tc>
        <w:tc>
          <w:tcPr>
            <w:tcW w:type="dxa" w:w="4536"/>
          </w:tcPr>
          <w:p>
            <w:r>
              <w:rPr>
                <w:rFonts w:ascii="Times New Roman" w:hAnsi="Times New Roman"/>
                <w:sz w:val="20"/>
              </w:rPr>
              <w:t>57 % — sehr hoch</w:t>
            </w:r>
          </w:p>
        </w:tc>
      </w:tr>
      <w:tr>
        <w:tc>
          <w:tcPr>
            <w:tcW w:type="dxa" w:w="4536"/>
          </w:tcPr>
          <w:p>
            <w:r>
              <w:rPr>
                <w:rFonts w:ascii="Times New Roman" w:hAnsi="Times New Roman"/>
                <w:sz w:val="20"/>
              </w:rPr>
              <w:t>Finanzkraft</w:t>
            </w:r>
          </w:p>
        </w:tc>
        <w:tc>
          <w:tcPr>
            <w:tcW w:type="dxa" w:w="4536"/>
          </w:tcPr>
          <w:p>
            <w:r>
              <w:rPr>
                <w:rFonts w:ascii="Times New Roman" w:hAnsi="Times New Roman"/>
                <w:sz w:val="20"/>
              </w:rPr>
              <w:t>GBW gut kapitalisiert; TBA Umsatz 32,8 Mio. EUR — Combined entity erheblich stärker</w:t>
            </w:r>
          </w:p>
        </w:tc>
      </w:tr>
      <w:tr>
        <w:tc>
          <w:tcPr>
            <w:tcW w:type="dxa" w:w="4536"/>
          </w:tcPr>
          <w:p>
            <w:r>
              <w:rPr>
                <w:rFonts w:ascii="Times New Roman" w:hAnsi="Times New Roman"/>
                <w:sz w:val="20"/>
              </w:rPr>
              <w:t>Zugang zu Beschaffungs- und Absatzmärkten</w:t>
            </w:r>
          </w:p>
        </w:tc>
        <w:tc>
          <w:tcPr>
            <w:tcW w:type="dxa" w:w="4536"/>
          </w:tcPr>
          <w:p>
            <w:r>
              <w:rPr>
                <w:rFonts w:ascii="Times New Roman" w:hAnsi="Times New Roman"/>
                <w:sz w:val="20"/>
              </w:rPr>
              <w:t>DB-Rahmenvertrag exklusiv; ProRail/Infrabel-Beziehungen</w:t>
            </w:r>
          </w:p>
        </w:tc>
      </w:tr>
      <w:tr>
        <w:tc>
          <w:tcPr>
            <w:tcW w:type="dxa" w:w="4536"/>
          </w:tcPr>
          <w:p>
            <w:r>
              <w:rPr>
                <w:rFonts w:ascii="Times New Roman" w:hAnsi="Times New Roman"/>
                <w:sz w:val="20"/>
              </w:rPr>
              <w:t>Verflechtungen mit anderen Unternehmen</w:t>
            </w:r>
          </w:p>
        </w:tc>
        <w:tc>
          <w:tcPr>
            <w:tcW w:type="dxa" w:w="4536"/>
          </w:tcPr>
          <w:p>
            <w:r>
              <w:rPr>
                <w:rFonts w:ascii="Times New Roman" w:hAnsi="Times New Roman"/>
                <w:sz w:val="20"/>
              </w:rPr>
              <w:t>WestCap-Beteiligung (19 %) — keine kritische Verflechtung</w:t>
            </w:r>
          </w:p>
        </w:tc>
      </w:tr>
      <w:tr>
        <w:tc>
          <w:tcPr>
            <w:tcW w:type="dxa" w:w="4536"/>
          </w:tcPr>
          <w:p>
            <w:r>
              <w:rPr>
                <w:rFonts w:ascii="Times New Roman" w:hAnsi="Times New Roman"/>
                <w:sz w:val="20"/>
              </w:rPr>
              <w:t>Marktzutrittsschranken für Dritte</w:t>
            </w:r>
          </w:p>
        </w:tc>
        <w:tc>
          <w:tcPr>
            <w:tcW w:type="dxa" w:w="4536"/>
          </w:tcPr>
          <w:p>
            <w:r>
              <w:rPr>
                <w:rFonts w:ascii="Times New Roman" w:hAnsi="Times New Roman"/>
                <w:sz w:val="20"/>
              </w:rPr>
              <w:t>Hoch (Zulassung, Investitionen — s. Aktenstück 03)</w:t>
            </w:r>
          </w:p>
        </w:tc>
      </w:tr>
      <w:tr>
        <w:tc>
          <w:tcPr>
            <w:tcW w:type="dxa" w:w="4536"/>
          </w:tcPr>
          <w:p>
            <w:r>
              <w:rPr>
                <w:rFonts w:ascii="Times New Roman" w:hAnsi="Times New Roman"/>
                <w:sz w:val="20"/>
              </w:rPr>
              <w:t>Tatsächlicher oder potentieller Wettbewerb</w:t>
            </w:r>
          </w:p>
        </w:tc>
        <w:tc>
          <w:tcPr>
            <w:tcW w:type="dxa" w:w="4536"/>
          </w:tcPr>
          <w:p>
            <w:r>
              <w:rPr>
                <w:rFonts w:ascii="Times New Roman" w:hAnsi="Times New Roman"/>
                <w:sz w:val="20"/>
              </w:rPr>
              <w:t>Begrenzt</w:t>
            </w:r>
          </w:p>
        </w:tc>
      </w:tr>
      <w:tr>
        <w:tc>
          <w:tcPr>
            <w:tcW w:type="dxa" w:w="4536"/>
          </w:tcPr>
          <w:p>
            <w:r>
              <w:rPr>
                <w:rFonts w:ascii="Times New Roman" w:hAnsi="Times New Roman"/>
                <w:sz w:val="20"/>
              </w:rPr>
              <w:t>Auf Wettbewerber angewiesene Unternehmen</w:t>
            </w:r>
          </w:p>
        </w:tc>
        <w:tc>
          <w:tcPr>
            <w:tcW w:type="dxa" w:w="4536"/>
          </w:tcPr>
          <w:p>
            <w:r>
              <w:rPr>
                <w:rFonts w:ascii="Times New Roman" w:hAnsi="Times New Roman"/>
                <w:sz w:val="20"/>
              </w:rPr>
              <w:t>DB AG als Monopsonist — gewisse Gegenmacht</w:t>
            </w:r>
          </w:p>
        </w:tc>
      </w:tr>
    </w:tbl>
    <w:p>
      <w:pPr>
        <w:pStyle w:val="Heading3"/>
      </w:pPr>
      <w:r>
        <w:rPr>
          <w:rFonts w:ascii="Times New Roman" w:hAnsi="Times New Roman"/>
        </w:rPr>
        <w:t>2.3 Gegenmacht der Nachfrager (Countervailing Buyer Power)</w:t>
      </w:r>
    </w:p>
    <w:p>
      <w:pPr>
        <w:jc w:val="left"/>
      </w:pPr>
      <w:r>
        <w:t>Die Deutsche Bahn AG / DB InfraGO AG ist mit einem Beschaffungsanteil von &gt; 60 % am DE-Markt ein außergewöhnlich starker Monopsonist. Ihre Vergabe erfolgt über mehrjährige Rahmenverträge mit Festpreisen und Mengengarantien. Diese Nachfragemacht wirkt marktbeherrschungssenkend:</w:t>
      </w:r>
    </w:p>
    <w:p>
      <w:pPr>
        <w:pStyle w:val="ListBullet"/>
      </w:pPr>
      <w:r>
        <w:t>Die DB AG kann durch Ausschreibungsgestaltung Newcomer-Zulassungen fördern.</w:t>
      </w:r>
    </w:p>
    <w:p>
      <w:pPr>
        <w:pStyle w:val="ListBullet"/>
      </w:pPr>
      <w:r>
        <w:t>Die DB AG hat öffentlich erklärt, den bestehenden Rahmenvertrag bei Marktstrukturveränderungen zu überprüfen.</w:t>
      </w:r>
    </w:p>
    <w:p>
      <w:pPr>
        <w:pStyle w:val="ListBullet"/>
      </w:pPr>
      <w:r>
        <w:t>Im Bußgeldverfahren hat die DB AG als Nebenbetroffene Schäden geltend gemacht, was ihre Wachheit für Wettbewerbsverzerrungen belegt.</w:t>
      </w:r>
    </w:p>
    <w:p>
      <w:pPr>
        <w:jc w:val="left"/>
      </w:pPr>
      <w:r>
        <w:t>Einschränkung: Countervailing Buyer Power entlastet nur teilweise. Auch ein mächtiger Einkäufer kann keinen wirksamen Wettbewerb substituieren, wenn das Angebot strukturell verengt ist (BGH KVR 55/17 — Mühlen-Fall, Ziff. 45 ff.).</w:t>
      </w:r>
    </w:p>
    <w:p>
      <w:pPr>
        <w:pStyle w:val="Heading3"/>
      </w:pPr>
      <w:r>
        <w:rPr>
          <w:rFonts w:ascii="Times New Roman" w:hAnsi="Times New Roman"/>
        </w:rPr>
        <w:t>2.4 Potentieller Wettbewerb</w:t>
      </w:r>
    </w:p>
    <w:p>
      <w:pPr>
        <w:jc w:val="left"/>
      </w:pPr>
      <w:r>
        <w:t>Marktzugangsbarrieren sind hoch (Zulassung, Investitionen, Erfahrungsbewährung — typisch 2–3 Jahre). Gleichwohl:</w:t>
      </w:r>
    </w:p>
    <w:p>
      <w:pPr>
        <w:pStyle w:val="ListBullet"/>
      </w:pPr>
      <w:r>
        <w:t>Schienenwerk Lausitz AG: einziger nennenswerter Kandidat für Kapazitätsausbau; profitiert bereits von DB-Rahmenvertrag.</w:t>
      </w:r>
    </w:p>
    <w:p>
      <w:pPr>
        <w:pStyle w:val="ListBullet"/>
      </w:pPr>
      <w:r>
        <w:t>Ausländische Hersteller: Vier europäische Hersteller (zwei aus Österreich, einer aus Tschechien, einer aus Polen) haben DB-Zulassung beantragt; Verfahren laufen.</w:t>
      </w:r>
    </w:p>
    <w:p>
      <w:pPr>
        <w:jc w:val="left"/>
      </w:pPr>
      <w:r>
        <w:t>Potentieller Wettbewerb existiert, ist aber aufgrund der langen Zulassungszeiten nicht als unmittelbarer Wettbewerbsdruck zu werten. Die Kommission und das BKartA bewerten potentiellen Wettbewerb in der Regel nur als weichen Faktor.</w:t>
      </w:r>
    </w:p>
    <w:p/>
    <w:p>
      <w:pPr>
        <w:pStyle w:val="Heading2"/>
      </w:pPr>
      <w:r>
        <w:rPr>
          <w:rFonts w:ascii="Times New Roman" w:hAnsi="Times New Roman"/>
        </w:rPr>
        <w:t>3. Unilaterale Effekte</w:t>
      </w:r>
    </w:p>
    <w:p>
      <w:pPr>
        <w:jc w:val="left"/>
      </w:pPr>
      <w:r>
        <w:t>Nach dem Zusammenschluss ist der kombinierte Anbieter GBW + TBA in der Lage, unilateral (d. h. ohne Koordination mit Wettbewerbern) den Preis zu erhöhen oder die Qualität zu senken, weil:</w:t>
      </w:r>
    </w:p>
    <w:p>
      <w:pPr>
        <w:pStyle w:val="ListBullet"/>
      </w:pPr>
      <w:r>
        <w:t>Der nächste Wettbewerber (Rehme, 18 %) erheblich kleiner ist und kurzfristig keine Kapazitäten aufbauen kann.</w:t>
      </w:r>
    </w:p>
    <w:p>
      <w:pPr>
        <w:pStyle w:val="ListBullet"/>
      </w:pPr>
      <w:r>
        <w:t>TBA war pre-merger ein eigenständiger Wettbewerbsdruck auf GBW — dieser entfällt.</w:t>
      </w:r>
    </w:p>
    <w:p>
      <w:pPr>
        <w:pStyle w:val="ListBullet"/>
      </w:pPr>
      <w:r>
        <w:t>Die Ausweichoptionen der Nachfrager sind begrenzt (s. SSNIP-Analyse, Aktenstück 04).</w:t>
      </w:r>
    </w:p>
    <w:p>
      <w:pPr>
        <w:jc w:val="left"/>
      </w:pPr>
      <w:r>
        <w:t>Unilaterale Effekte sind das zentrale Wettbewerbsbedenken und werden vom BKartA voraussichtlich in der Eröffnungsverfügung zu einer Phase-II thematisiert.</w:t>
      </w:r>
    </w:p>
    <w:p/>
    <w:p>
      <w:pPr>
        <w:pStyle w:val="Heading2"/>
      </w:pPr>
      <w:r>
        <w:rPr>
          <w:rFonts w:ascii="Times New Roman" w:hAnsi="Times New Roman"/>
        </w:rPr>
        <w:t>4. Koordinierte Effekte — Duopol GBW/Rehme?</w:t>
      </w:r>
    </w:p>
    <w:p>
      <w:pPr>
        <w:jc w:val="left"/>
      </w:pPr>
      <w:r>
        <w:t>Nach dem Zusammenschluss kontrollieren GBW (57 %) und Rehme (18 %) zusammen ca. 75 % des DE-Markts. Die Frage, ob dies ein koordinationsfähiges Duopol schafft, ist zu prüfen:</w:t>
      </w:r>
    </w:p>
    <w:p>
      <w:pPr>
        <w:pStyle w:val="ListBullet"/>
      </w:pPr>
      <w:r>
        <w:t>Markttransparenz: DB-Rahmenverträge werden öffentlich ausgeschrieben — erhöht Transparenz.</w:t>
      </w:r>
    </w:p>
    <w:p>
      <w:pPr>
        <w:pStyle w:val="ListBullet"/>
      </w:pPr>
      <w:r>
        <w:t>Symmetrie: Marktanteile 57 % vs. 18 % — erhebliche Asymmetrie. Asymmetrie erschvert koordinierte Effekte tendenziell.</w:t>
      </w:r>
    </w:p>
    <w:p>
      <w:pPr>
        <w:pStyle w:val="ListBullet"/>
      </w:pPr>
      <w:r>
        <w:t>Vergeltungskapazität: Rehme ist deutlich kleiner — seine Fähigkeit, Preisunterbietungen zu ahnden, ist begrenzt.</w:t>
      </w:r>
    </w:p>
    <w:p>
      <w:pPr>
        <w:jc w:val="left"/>
      </w:pPr>
      <w:r>
        <w:t>Koordinierte Effekte sind weniger wahrscheinlich als unilaterale, aber das BKartA wird die Frage stellen. Das Bußgeldvorverfahren (Preisabsprachen 2018–2021 unter GBW, TBA, Rehme) ist ein gewichtiges Indiz dafür, dass die Unternehmen in der Vergangenheit koordiniert haben — was das Koordinationsrisiko erhöht.</w:t>
      </w:r>
    </w:p>
    <w:p/>
    <w:p>
      <w:pPr>
        <w:pStyle w:val="Heading2"/>
      </w:pPr>
      <w:r>
        <w:rPr>
          <w:rFonts w:ascii="Times New Roman" w:hAnsi="Times New Roman"/>
        </w:rPr>
        <w:t>5. Ergebnis</w:t>
      </w:r>
    </w:p>
    <w:p>
      <w:pPr>
        <w:jc w:val="left"/>
      </w:pPr>
      <w:r>
        <w:t xml:space="preserve">Das kombinierte Unternehmen GBW + TBA wird nach dem Zusammenschluss (bei nationaler Marktabgrenzung DE) mit hoher Wahrscheinlichkeit als </w:t>
      </w:r>
      <w:r>
        <w:rPr>
          <w:b/>
        </w:rPr>
        <w:t>marktbeherrschend</w:t>
      </w:r>
      <w:r>
        <w:t xml:space="preserve"> im Sinne des § 18 GWB eingestuft. Die Vermutungsgrenze des § 18 Abs. 4 GWB (40 %) ist weit überschritten (57 %). Unilaterale Effekte sind das dominante Wettbewerbsbedenken. Das Vorhaben erfüllt nach vorläufiger Einschätzung die Untersagungsvoraussetzungen des § 36 Abs. 1 GWB, sofern keine Bedingungen und Auflagen (Aktenstück 12) die Wettbewerbsbedenken ausräumen.</w:t>
      </w:r>
    </w:p>
    <w:p/>
    <w:p>
      <w:pPr>
        <w:pStyle w:val="Heading2"/>
      </w:pPr>
      <w:r>
        <w:rPr>
          <w:rFonts w:ascii="Times New Roman" w:hAnsi="Times New Roman"/>
        </w:rPr>
        <w:t>Quellen</w:t>
      </w:r>
    </w:p>
    <w:p>
      <w:pPr>
        <w:pStyle w:val="ListBullet"/>
      </w:pPr>
      <w:r>
        <w:t>§ 18 GWB: dejure.org/gesetze/GWB/18.html</w:t>
      </w:r>
    </w:p>
    <w:p>
      <w:pPr>
        <w:pStyle w:val="ListBullet"/>
      </w:pPr>
      <w:r>
        <w:t>§ 36 GWB: dejure.org/gesetze/GWB/36.html</w:t>
      </w:r>
    </w:p>
    <w:p>
      <w:pPr>
        <w:pStyle w:val="ListBullet"/>
      </w:pPr>
      <w:r>
        <w:t>Art. 102 AEUV: dejure.org/gesetze/AEUV/102.html</w:t>
      </w:r>
    </w:p>
    <w:p>
      <w:pPr>
        <w:pStyle w:val="ListBullet"/>
      </w:pPr>
      <w:r>
        <w:t>Art. 2 Abs. 2, 3 FKVO 139/2004: EUR-Lex</w:t>
      </w:r>
    </w:p>
    <w:p>
      <w:pPr>
        <w:pStyle w:val="ListBullet"/>
      </w:pPr>
      <w:r>
        <w:t>BGH KVR 55/17 "Mühlen" (Countervailing Buyer Power): bundesgerichtshof.de</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