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Anmeldung § 39 GWB beim Bundeskartellamt — Verfahren B6-188-26</w:t>
      </w:r>
    </w:p>
    <w:p>
      <w:pPr>
        <w:jc w:val="left"/>
      </w:pPr>
      <w:r>
        <w:t>Datum: 16. März 2026</w:t>
      </w:r>
    </w:p>
    <w:p>
      <w:pPr>
        <w:jc w:val="left"/>
      </w:pPr>
      <w:r>
        <w:t>Bearbeiter: RA Stefan Brinkmeier</w:t>
      </w:r>
    </w:p>
    <w:p>
      <w:pPr>
        <w:jc w:val="left"/>
      </w:pPr>
      <w:r>
        <w:t>Aktenzeichen: SW/2026/KA-0318 | BKartA B6-188-26</w:t>
      </w:r>
    </w:p>
    <w:p/>
    <w:p>
      <w:pPr>
        <w:pStyle w:val="Heading2"/>
      </w:pPr>
      <w:r>
        <w:rPr>
          <w:rFonts w:ascii="Times New Roman" w:hAnsi="Times New Roman"/>
        </w:rPr>
        <w:t>1. Verfahrensüberblick</w:t>
      </w:r>
    </w:p>
    <w:p>
      <w:pPr>
        <w:jc w:val="left"/>
      </w:pPr>
      <w:r>
        <w:t>Die Anmeldung des Zusammenschlusses wurde am 16. März 2026 beim Bundeskartellamt (BKartA), Referat B6 (Grundstoffgüter, Chemie und Pharma, Rohstoffe und Bauindustrie, Energie), Kaiser-Friedrich-Straße 16, 53113 Bonn, eingereicht. Die Zuordnung zu Referat B6 entspricht der sachlichen Kompetenz für Bauzuliefererzeugnisse und Infrastrukturkomponenten.</w:t>
      </w:r>
    </w:p>
    <w:p>
      <w:pPr>
        <w:jc w:val="left"/>
      </w:pPr>
      <w:r>
        <w:t>Das BKartA hat mit Eingangsbestätigung vom 17. März 2026 (Az. B6-188-26) den Eingang bestätigt und die Prüffrist des § 40 Abs. 1 GWB von einem Monat in Gang gesetzt. Ablauf Phase I: 17. April 2026, sofern das BKartA kein Hauptprüfverfahren eröffnet.</w:t>
      </w:r>
    </w:p>
    <w:p/>
    <w:p>
      <w:pPr>
        <w:pStyle w:val="Heading2"/>
      </w:pPr>
      <w:r>
        <w:rPr>
          <w:rFonts w:ascii="Times New Roman" w:hAnsi="Times New Roman"/>
        </w:rPr>
        <w:t>2. Rechtsgrundlage</w:t>
      </w:r>
    </w:p>
    <w:p>
      <w:pPr>
        <w:jc w:val="left"/>
      </w:pPr>
      <w:r>
        <w:t>§ 39 Abs. 1 GWB: Zusammenschlüsse, die die Voraussetzungen des § 35 GWB erfüllen, sind beim BKartA anzumelden. (dejure.org/gesetze/GWB/39.html)</w:t>
      </w:r>
    </w:p>
    <w:p>
      <w:pPr>
        <w:jc w:val="left"/>
      </w:pPr>
      <w:r>
        <w:t>§ 39 Abs. 3 GWB: Die Anmeldung enthält mindestens:</w:t>
      </w:r>
    </w:p>
    <w:p>
      <w:pPr>
        <w:pStyle w:val="ListBullet"/>
      </w:pPr>
      <w:r>
        <w:t>Angaben zu den beteiligten Unternehmen (Name, Sitz, Geschäftsbereich)</w:t>
      </w:r>
    </w:p>
    <w:p>
      <w:pPr>
        <w:pStyle w:val="ListBullet"/>
      </w:pPr>
      <w:r>
        <w:t>Art des Zusammenschlusses (§ 37 GWB)</w:t>
      </w:r>
    </w:p>
    <w:p>
      <w:pPr>
        <w:pStyle w:val="ListBullet"/>
      </w:pPr>
      <w:r>
        <w:t>Umsätze im letzten Geschäftsjahr</w:t>
      </w:r>
    </w:p>
    <w:p>
      <w:pPr>
        <w:pStyle w:val="ListBullet"/>
      </w:pPr>
      <w:r>
        <w:t>Marktanteile und Absatzmärkte</w:t>
      </w:r>
    </w:p>
    <w:p>
      <w:pPr>
        <w:pStyle w:val="ListBullet"/>
      </w:pPr>
      <w:r>
        <w:t>Beschreibung des Zusammenschlusses</w:t>
      </w:r>
    </w:p>
    <w:p>
      <w:pPr>
        <w:jc w:val="left"/>
      </w:pPr>
      <w:r>
        <w:t>§ 40 Abs. 1 GWB: Prüffrist Phase I: ein Monat ab vollständiger Anmeldung. (dejure.org/gesetze/GWB/40.html)</w:t>
      </w:r>
    </w:p>
    <w:p>
      <w:pPr>
        <w:jc w:val="left"/>
      </w:pPr>
      <w:r>
        <w:t>§ 40 Abs. 2 GWB: Das BKartA kann die Prüffrist um vier Monate verlängern (Phase II), wenn ernstzunehmende Bedenken bestehen.</w:t>
      </w:r>
    </w:p>
    <w:p/>
    <w:p>
      <w:pPr>
        <w:pStyle w:val="Heading2"/>
      </w:pPr>
      <w:r>
        <w:rPr>
          <w:rFonts w:ascii="Times New Roman" w:hAnsi="Times New Roman"/>
        </w:rPr>
        <w:t>3. Art des Zusammenschlusses — § 37 GWB</w:t>
      </w:r>
    </w:p>
    <w:p>
      <w:pPr>
        <w:jc w:val="left"/>
      </w:pPr>
      <w:r>
        <w:t>Der Erwerb der Anteile an der Tannenheim Betonelemente AG durch GBW stellt einen Zusammenschluss gemäß § 37 Abs. 1 Nr. 3 GWB dar: Erwerb von mehr als 50 % der Anteile an einem anderen Unternehmen (geplant: 100 % der Aktien via SPA mit Tannenheim Holding SE). Damit erlangt GBW die alleinige Kontrolle über TBA.</w:t>
      </w:r>
    </w:p>
    <w:p>
      <w:pPr>
        <w:jc w:val="left"/>
      </w:pPr>
      <w:r>
        <w:t>§ 37 Abs. 1 Nr. 3 GWB (dejure.org/gesetze/GWB/37.html): Anteilserwerb, der unmittelbar oder mittelbar mehr als die Hälfte der Stimmrechte vermittelt — hier: 100 % der Aktien.</w:t>
      </w:r>
    </w:p>
    <w:p/>
    <w:p>
      <w:pPr>
        <w:pStyle w:val="Heading2"/>
      </w:pPr>
      <w:r>
        <w:rPr>
          <w:rFonts w:ascii="Times New Roman" w:hAnsi="Times New Roman"/>
        </w:rPr>
        <w:t>4. Inhalt der Anmeldung (Zusammenfassung)</w:t>
      </w:r>
    </w:p>
    <w:p>
      <w:pPr>
        <w:pStyle w:val="Heading3"/>
      </w:pPr>
      <w:r>
        <w:rPr>
          <w:rFonts w:ascii="Times New Roman" w:hAnsi="Times New Roman"/>
        </w:rPr>
        <w:t>4.1 Beteiligte Unternehmen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Rubrik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GBW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TBA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Firma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Grosskopf Betonwerk Westfalen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Tannenheim Betonelemente 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Münster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Bielefeld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HRB 12340 Münster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HRB 9876 Bielefeld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 DE 2025 (vorl.)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58,1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29,1 Mio.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Umsatz gesamt 2025 (vorl.)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74,3 Mio.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32,8 Mio.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Marktanteil DE Bahnbetonschwellen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38 %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19 %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4.2 Beschreibung des Zusammenschlusses</w:t>
      </w:r>
    </w:p>
    <w:p>
      <w:pPr>
        <w:jc w:val="left"/>
      </w:pPr>
      <w:r>
        <w:t>GBW erwirbt sämtliche Aktien der Tannenheim Holding SE an der TBA (74,9 %) sowie den Streubesitz im Wege eines öffentlichen Übernahmeangebots (soweit nicht bereits im SPA geregelt). Geplanter Erwerb: 100 % der Aktien der TBA.</w:t>
      </w:r>
    </w:p>
    <w:p>
      <w:pPr>
        <w:jc w:val="left"/>
      </w:pPr>
      <w:r>
        <w:t>Transaktion: Share Purchase Agreement (SPA) unterzeichnet am 15. März 2026. Closing aufschiebend bedingt auf Erteilung der fusionskontrollrechtlichen Freigaben (Vollzugsverbot § 41 Abs. 1 GWB).</w:t>
      </w:r>
    </w:p>
    <w:p>
      <w:pPr>
        <w:pStyle w:val="Heading3"/>
      </w:pPr>
      <w:r>
        <w:rPr>
          <w:rFonts w:ascii="Times New Roman" w:hAnsi="Times New Roman"/>
        </w:rPr>
        <w:t>4.3 Relevante Märkte</w:t>
      </w:r>
    </w:p>
    <w:p>
      <w:pPr>
        <w:pStyle w:val="ListBullet"/>
      </w:pPr>
      <w:r>
        <w:t>Produktmarkt: Bahnbetonschwellen (Spannbetonschwellen) für Vollbahn</w:t>
      </w:r>
    </w:p>
    <w:p>
      <w:pPr>
        <w:pStyle w:val="ListBullet"/>
      </w:pPr>
      <w:r>
        <w:t>Räumlicher Markt: Deutschland (vorläufig; EWR-weite Abgrenzung alternativ vorgetragen)</w:t>
      </w:r>
    </w:p>
    <w:p>
      <w:pPr>
        <w:pStyle w:val="Heading3"/>
      </w:pPr>
      <w:r>
        <w:rPr>
          <w:rFonts w:ascii="Times New Roman" w:hAnsi="Times New Roman"/>
        </w:rPr>
        <w:t>4.4 Marktanteilsangaben</w:t>
      </w:r>
    </w:p>
    <w:p>
      <w:pPr>
        <w:jc w:val="left"/>
      </w:pPr>
      <w:r>
        <w:t>Post-Merger: ca. 57 % (DE, enge Marktabgrenzung); ca. 15 % (EWR, weite Abgrenzung).</w:t>
      </w:r>
    </w:p>
    <w:p/>
    <w:p>
      <w:pPr>
        <w:pStyle w:val="Heading2"/>
      </w:pPr>
      <w:r>
        <w:rPr>
          <w:rFonts w:ascii="Times New Roman" w:hAnsi="Times New Roman"/>
        </w:rPr>
        <w:t>5. Vollständigkeit der Anmeldung und Fristfragen</w:t>
      </w:r>
    </w:p>
    <w:p>
      <w:pPr>
        <w:jc w:val="left"/>
      </w:pPr>
      <w:r>
        <w:t>Die Anmeldung gilt als vollständig eingegangen, wenn alle nach § 39 Abs. 3 GWB erforderlichen Angaben vorliegen. Das BKartA prüft die Vollständigkeit und fordert ggf. ergänzende Unterlagen an (sog. Stop-the-Clock-Mechanismus analog Art. 10 FKVO). Die Prüffrist beginnt erst mit vollständiger Einreichung.</w:t>
      </w:r>
    </w:p>
    <w:p>
      <w:pPr>
        <w:jc w:val="left"/>
      </w:pPr>
      <w:r>
        <w:t>Offene Punkte bei Anmeldung:</w:t>
      </w:r>
    </w:p>
    <w:p>
      <w:pPr>
        <w:pStyle w:val="ListBullet"/>
      </w:pPr>
      <w:r>
        <w:t>Vollständige Umsatzmatrix nach Produktgruppen (angefordert bei TBA bis 22.03.2026)</w:t>
      </w:r>
    </w:p>
    <w:p>
      <w:pPr>
        <w:pStyle w:val="ListBullet"/>
      </w:pPr>
      <w:r>
        <w:t>Vorlage aktueller Rahmenverträge mit DB InfraGO AG (unter Vertraulichkeitsvorbehalt)</w:t>
      </w:r>
    </w:p>
    <w:p>
      <w:pPr>
        <w:pStyle w:val="ListBullet"/>
      </w:pPr>
      <w:r>
        <w:t>Vorlage der SPA-Endfassung (eingereicht als vertraulich)</w:t>
      </w:r>
    </w:p>
    <w:p>
      <w:pPr>
        <w:jc w:val="left"/>
      </w:pPr>
      <w:r>
        <w:t>Das BKartA hat am 18. März 2026 mitgeteilt, die Anmeldung als "vorläufig vollständig" anzusehen und die Monatsfrist zu starten, unter Vorbehalt ausstehender Unterlagen.</w:t>
      </w:r>
    </w:p>
    <w:p/>
    <w:p>
      <w:pPr>
        <w:pStyle w:val="Heading2"/>
      </w:pPr>
      <w:r>
        <w:rPr>
          <w:rFonts w:ascii="Times New Roman" w:hAnsi="Times New Roman"/>
        </w:rPr>
        <w:t>6. Paralleles EU-Verfahren</w:t>
      </w:r>
    </w:p>
    <w:p>
      <w:pPr>
        <w:jc w:val="left"/>
      </w:pPr>
      <w:r>
        <w:t>Die EU-Kommission führt ein Informationsaustausch-Verfahren unter COMP M.92188. Das BKartA und die Kommission koordinieren sich über das Netzwerk der Europäischen Wettbewerbsbehörden (ECN). Gemäß Art. 22 Abs. 5 FKVO kann das BKartA jederzeit eine Verweisung an die Kommission beantragen — dazu s. Aktenstück 09.</w:t>
      </w:r>
    </w:p>
    <w:p/>
    <w:p>
      <w:pPr>
        <w:pStyle w:val="Heading2"/>
      </w:pPr>
      <w:r>
        <w:rPr>
          <w:rFonts w:ascii="Times New Roman" w:hAnsi="Times New Roman"/>
        </w:rPr>
        <w:t>7. Kommunikationsstrategie gegenüber dem BKartA</w:t>
      </w:r>
    </w:p>
    <w:p>
      <w:pPr>
        <w:jc w:val="left"/>
      </w:pPr>
      <w:r>
        <w:t>Die Kanzlei empfiehlt proaktive, offene Kommunikation mit dem Referat B6. Angesichts der Marktanteilssituation ist ein Phase-II-Verfahren wahrscheinlich. Ziel der Phase-I-Kommunikation ist:</w:t>
      </w:r>
    </w:p>
    <w:p>
      <w:pPr>
        <w:pStyle w:val="ListNumber"/>
      </w:pPr>
      <w:r>
        <w:t>Glaubwürdigkeitsaufbau bei Sachverhaltsdarstellung (Marktdaten, Umsätze)</w:t>
      </w:r>
    </w:p>
    <w:p>
      <w:pPr>
        <w:pStyle w:val="ListNumber"/>
      </w:pPr>
      <w:r>
        <w:t>Frühzeitige Thematisierung von Abhilfemaßnahmen (Carve-out Bielefeld — Aktenstück 12)</w:t>
      </w:r>
    </w:p>
    <w:p>
      <w:pPr>
        <w:pStyle w:val="ListNumber"/>
      </w:pPr>
      <w:r>
        <w:t>Vermeidung eines vollständigen Phase-II-Hauptprüfverfahrens durch Angebot von Zusagen bereits in Phase I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§ 37 GWB: dejure.org/gesetze/GWB/37.html</w:t>
      </w:r>
    </w:p>
    <w:p>
      <w:pPr>
        <w:pStyle w:val="ListBullet"/>
      </w:pPr>
      <w:r>
        <w:t>§ 39 GWB: dejure.org/gesetze/GWB/39.html</w:t>
      </w:r>
    </w:p>
    <w:p>
      <w:pPr>
        <w:pStyle w:val="ListBullet"/>
      </w:pPr>
      <w:r>
        <w:t>§ 40 GWB: dejure.org/gesetze/GWB/40.html</w:t>
      </w:r>
    </w:p>
    <w:p>
      <w:pPr>
        <w:pStyle w:val="ListBullet"/>
      </w:pPr>
      <w:r>
        <w:t>§ 41 GWB (Vollzugsverbot): dejure.org/gesetze/GWB/41.html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