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EU-Anmeldung — Form CO / Koordination Kommission COMP M.92188</w:t>
      </w:r>
    </w:p>
    <w:p>
      <w:pPr>
        <w:jc w:val="left"/>
      </w:pPr>
      <w:r>
        <w:t>Datum: 17. März 2026</w:t>
      </w:r>
    </w:p>
    <w:p>
      <w:pPr>
        <w:jc w:val="left"/>
      </w:pPr>
      <w:r>
        <w:t>Bearbeiter: RAin Dr. Annette van Hove (Brüssel-Office)</w:t>
      </w:r>
    </w:p>
    <w:p>
      <w:pPr>
        <w:jc w:val="left"/>
      </w:pPr>
      <w:r>
        <w:t>Aktenzeichen: SW/2026/KA-0318 | EU COMP M.92188</w:t>
      </w:r>
    </w:p>
    <w:p/>
    <w:p>
      <w:pPr>
        <w:pStyle w:val="Heading2"/>
      </w:pPr>
      <w:r>
        <w:rPr>
          <w:rFonts w:ascii="Times New Roman" w:hAnsi="Times New Roman"/>
        </w:rPr>
        <w:t>1. Ausgangslage — Keine direkten EU-Schwellen</w:t>
      </w:r>
    </w:p>
    <w:p>
      <w:pPr>
        <w:jc w:val="left"/>
      </w:pPr>
      <w:r>
        <w:t>Die regulären EU-Aufgreifkriterien des Art. 1 Abs. 2 FKVO 139/2004 sind nicht erfüllt (kein weltweiter Gesamtumsatz &gt; 5 Mrd. EUR, kein EU-weiter Umsatz jedes beteiligten Unternehmens &gt; 250 Mio. EUR). (EUR-Lex FKVO 139/2004)</w:t>
      </w:r>
    </w:p>
    <w:p>
      <w:pPr>
        <w:jc w:val="left"/>
      </w:pPr>
      <w:r>
        <w:t>Auch die Mehrstaaten-Schwelle des Art. 1 Abs. 3 FKVO ist nicht erfüllt.</w:t>
      </w:r>
    </w:p>
    <w:p>
      <w:pPr>
        <w:jc w:val="left"/>
      </w:pPr>
      <w:r>
        <w:t>Die EU-Kommission hat gleichwohl ein Verfahren unter COMP M.92188 eröffnet, nachdem sie auf Anregung des BKartA gemäß Art. 22 FKVO eine Befassung in Erwägung gezogen hat. Die Kommission hat nach ihrer Leitlinie vom 31.03.2021 zu Art. 22 FKVO (EUR-Lex) ausgeführt, dass Verweisungen auch bei Unterschreiten der Schwellen in Frage kommen, wenn der Zusammenschluss den Wettbewerb im Binnenmarkt erheblich beeinträchtigen könnte.</w:t>
      </w:r>
    </w:p>
    <w:p/>
    <w:p>
      <w:pPr>
        <w:pStyle w:val="Heading2"/>
      </w:pPr>
      <w:r>
        <w:rPr>
          <w:rFonts w:ascii="Times New Roman" w:hAnsi="Times New Roman"/>
        </w:rPr>
        <w:t>2. Verfahrensweg Art. 22 FKVO</w:t>
      </w:r>
    </w:p>
    <w:p>
      <w:pPr>
        <w:pStyle w:val="Heading3"/>
      </w:pPr>
      <w:r>
        <w:rPr>
          <w:rFonts w:ascii="Times New Roman" w:hAnsi="Times New Roman"/>
        </w:rPr>
        <w:t>2.1 Antrag des BKartA</w:t>
      </w:r>
    </w:p>
    <w:p>
      <w:pPr>
        <w:jc w:val="left"/>
      </w:pPr>
      <w:r>
        <w:t>Das BKartA hat am 18. März 2026 einen Verweisungsantrag nach Art. 22 Abs. 1 FKVO an die Kommission gestellt. Die Kommission hat am 20. März 2026 die übrigen Mitgliedstaaten gemäß Art. 22 Abs. 2 FKVO unterrichtet. Die Niederlande und Belgien, als deren Netzbetreiber von GBW beliefert werden, haben sich dem Antrag angeschlossen (Art. 22 Abs. 2 UAbs. 2 FKVO).</w:t>
      </w:r>
    </w:p>
    <w:p>
      <w:pPr>
        <w:pStyle w:val="Heading3"/>
      </w:pPr>
      <w:r>
        <w:rPr>
          <w:rFonts w:ascii="Times New Roman" w:hAnsi="Times New Roman"/>
        </w:rPr>
        <w:t>2.2 Entscheidung der Kommission zur Verweisung</w:t>
      </w:r>
    </w:p>
    <w:p>
      <w:pPr>
        <w:jc w:val="left"/>
      </w:pPr>
      <w:r>
        <w:t>Die Kommission hat am 28. März 2026 entschieden, den Zusammenschluss auf Basis des Art. 22 FKVO in ihre ausschließliche Zuständigkeit zu übernehmen. Begründung: grenzüberschreitende Auswirkungen auf die Bahninfrastruktur-Versorgung in Deutschland, Niederlande und Belgien; Zusammenschluss könnte Wettbewerb im Binnenmarkt erheblich beeinträchtigen.</w:t>
      </w:r>
    </w:p>
    <w:p>
      <w:pPr>
        <w:jc w:val="left"/>
      </w:pPr>
      <w:r>
        <w:t>Konsequenz: Das BKartA-Verfahren B6-188-26 wird ausgesetzt. Das Zusammenschlusskontrollverfahren wird ausschließlich durch die Kommission geführt.</w:t>
      </w:r>
    </w:p>
    <w:p>
      <w:pPr>
        <w:jc w:val="left"/>
      </w:pPr>
      <w:r>
        <w:t>Praktischer Hinweis: Die Aussetzung des BKartA-Verfahrens schafft Unsicherheit, da die Kommission längere Prüffristen hat (25 Arbeitstage Phase I + 90 Arbeitstage Phase II). Die Mandantin ist auf diese zeitliche Verschiebung vorzubereiten.</w:t>
      </w:r>
    </w:p>
    <w:p/>
    <w:p>
      <w:pPr>
        <w:pStyle w:val="Heading2"/>
      </w:pPr>
      <w:r>
        <w:rPr>
          <w:rFonts w:ascii="Times New Roman" w:hAnsi="Times New Roman"/>
        </w:rPr>
        <w:t>3. Form CO — Inhalt und Vorbereitung</w:t>
      </w:r>
    </w:p>
    <w:p>
      <w:pPr>
        <w:pStyle w:val="Heading3"/>
      </w:pPr>
      <w:r>
        <w:rPr>
          <w:rFonts w:ascii="Times New Roman" w:hAnsi="Times New Roman"/>
        </w:rPr>
        <w:t>3.1 Anmeldungsformular</w:t>
      </w:r>
    </w:p>
    <w:p>
      <w:pPr>
        <w:jc w:val="left"/>
      </w:pPr>
      <w:r>
        <w:t>Die Kommission verwendet das Form CO (Verordnung (EG) Nr. 802/2004 der Kommission, zuletzt geändert durch Durchführungsverordnung (EU) 2023/914). Das Form CO umfasst im Standardverfahren folgende Abschnitte:</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Abschnitt</w:t>
            </w:r>
          </w:p>
        </w:tc>
        <w:tc>
          <w:tcPr>
            <w:tcW w:type="dxa" w:w="4536"/>
          </w:tcPr>
          <w:p>
            <w:r>
              <w:rPr>
                <w:rFonts w:ascii="Times New Roman" w:hAnsi="Times New Roman"/>
                <w:b/>
                <w:sz w:val="20"/>
              </w:rPr>
              <w:t>Inhalt</w:t>
            </w:r>
          </w:p>
        </w:tc>
      </w:tr>
      <w:tr>
        <w:tc>
          <w:tcPr>
            <w:tcW w:type="dxa" w:w="4536"/>
          </w:tcPr>
          <w:p>
            <w:r>
              <w:rPr>
                <w:rFonts w:ascii="Times New Roman" w:hAnsi="Times New Roman"/>
                <w:sz w:val="20"/>
              </w:rPr>
              <w:t>Abschnitt 1</w:t>
            </w:r>
          </w:p>
        </w:tc>
        <w:tc>
          <w:tcPr>
            <w:tcW w:type="dxa" w:w="4536"/>
          </w:tcPr>
          <w:p>
            <w:r>
              <w:rPr>
                <w:rFonts w:ascii="Times New Roman" w:hAnsi="Times New Roman"/>
                <w:sz w:val="20"/>
              </w:rPr>
              <w:t>Beschreibung der Transaktion</w:t>
            </w:r>
          </w:p>
        </w:tc>
      </w:tr>
      <w:tr>
        <w:tc>
          <w:tcPr>
            <w:tcW w:type="dxa" w:w="4536"/>
          </w:tcPr>
          <w:p>
            <w:r>
              <w:rPr>
                <w:rFonts w:ascii="Times New Roman" w:hAnsi="Times New Roman"/>
                <w:sz w:val="20"/>
              </w:rPr>
              <w:t>Abschnitt 2</w:t>
            </w:r>
          </w:p>
        </w:tc>
        <w:tc>
          <w:tcPr>
            <w:tcW w:type="dxa" w:w="4536"/>
          </w:tcPr>
          <w:p>
            <w:r>
              <w:rPr>
                <w:rFonts w:ascii="Times New Roman" w:hAnsi="Times New Roman"/>
                <w:sz w:val="20"/>
              </w:rPr>
              <w:t>Informationen über die beteiligten Parteien</w:t>
            </w:r>
          </w:p>
        </w:tc>
      </w:tr>
      <w:tr>
        <w:tc>
          <w:tcPr>
            <w:tcW w:type="dxa" w:w="4536"/>
          </w:tcPr>
          <w:p>
            <w:r>
              <w:rPr>
                <w:rFonts w:ascii="Times New Roman" w:hAnsi="Times New Roman"/>
                <w:sz w:val="20"/>
              </w:rPr>
              <w:t>Abschnitt 3</w:t>
            </w:r>
          </w:p>
        </w:tc>
        <w:tc>
          <w:tcPr>
            <w:tcW w:type="dxa" w:w="4536"/>
          </w:tcPr>
          <w:p>
            <w:r>
              <w:rPr>
                <w:rFonts w:ascii="Times New Roman" w:hAnsi="Times New Roman"/>
                <w:sz w:val="20"/>
              </w:rPr>
              <w:t>Eigentums- und Kontrollstrukturen</w:t>
            </w:r>
          </w:p>
        </w:tc>
      </w:tr>
      <w:tr>
        <w:tc>
          <w:tcPr>
            <w:tcW w:type="dxa" w:w="4536"/>
          </w:tcPr>
          <w:p>
            <w:r>
              <w:rPr>
                <w:rFonts w:ascii="Times New Roman" w:hAnsi="Times New Roman"/>
                <w:sz w:val="20"/>
              </w:rPr>
              <w:t>Abschnitt 4</w:t>
            </w:r>
          </w:p>
        </w:tc>
        <w:tc>
          <w:tcPr>
            <w:tcW w:type="dxa" w:w="4536"/>
          </w:tcPr>
          <w:p>
            <w:r>
              <w:rPr>
                <w:rFonts w:ascii="Times New Roman" w:hAnsi="Times New Roman"/>
                <w:sz w:val="20"/>
              </w:rPr>
              <w:t>Betroffene Märkte (Horizontalbeziehungen)</w:t>
            </w:r>
          </w:p>
        </w:tc>
      </w:tr>
      <w:tr>
        <w:tc>
          <w:tcPr>
            <w:tcW w:type="dxa" w:w="4536"/>
          </w:tcPr>
          <w:p>
            <w:r>
              <w:rPr>
                <w:rFonts w:ascii="Times New Roman" w:hAnsi="Times New Roman"/>
                <w:sz w:val="20"/>
              </w:rPr>
              <w:t>Abschnitt 5</w:t>
            </w:r>
          </w:p>
        </w:tc>
        <w:tc>
          <w:tcPr>
            <w:tcW w:type="dxa" w:w="4536"/>
          </w:tcPr>
          <w:p>
            <w:r>
              <w:rPr>
                <w:rFonts w:ascii="Times New Roman" w:hAnsi="Times New Roman"/>
                <w:sz w:val="20"/>
              </w:rPr>
              <w:t>Vertikale Beziehungen</w:t>
            </w:r>
          </w:p>
        </w:tc>
      </w:tr>
      <w:tr>
        <w:tc>
          <w:tcPr>
            <w:tcW w:type="dxa" w:w="4536"/>
          </w:tcPr>
          <w:p>
            <w:r>
              <w:rPr>
                <w:rFonts w:ascii="Times New Roman" w:hAnsi="Times New Roman"/>
                <w:sz w:val="20"/>
              </w:rPr>
              <w:t>Abschnitt 6</w:t>
            </w:r>
          </w:p>
        </w:tc>
        <w:tc>
          <w:tcPr>
            <w:tcW w:type="dxa" w:w="4536"/>
          </w:tcPr>
          <w:p>
            <w:r>
              <w:rPr>
                <w:rFonts w:ascii="Times New Roman" w:hAnsi="Times New Roman"/>
                <w:sz w:val="20"/>
              </w:rPr>
              <w:t>Kooperationsvereinbarungen</w:t>
            </w:r>
          </w:p>
        </w:tc>
      </w:tr>
      <w:tr>
        <w:tc>
          <w:tcPr>
            <w:tcW w:type="dxa" w:w="4536"/>
          </w:tcPr>
          <w:p>
            <w:r>
              <w:rPr>
                <w:rFonts w:ascii="Times New Roman" w:hAnsi="Times New Roman"/>
                <w:sz w:val="20"/>
              </w:rPr>
              <w:t>Abschnitt 7</w:t>
            </w:r>
          </w:p>
        </w:tc>
        <w:tc>
          <w:tcPr>
            <w:tcW w:type="dxa" w:w="4536"/>
          </w:tcPr>
          <w:p>
            <w:r>
              <w:rPr>
                <w:rFonts w:ascii="Times New Roman" w:hAnsi="Times New Roman"/>
                <w:sz w:val="20"/>
              </w:rPr>
              <w:t>Umsätze</w:t>
            </w:r>
          </w:p>
        </w:tc>
      </w:tr>
      <w:tr>
        <w:tc>
          <w:tcPr>
            <w:tcW w:type="dxa" w:w="4536"/>
          </w:tcPr>
          <w:p>
            <w:r>
              <w:rPr>
                <w:rFonts w:ascii="Times New Roman" w:hAnsi="Times New Roman"/>
                <w:sz w:val="20"/>
              </w:rPr>
              <w:t>Abschnitt 8</w:t>
            </w:r>
          </w:p>
        </w:tc>
        <w:tc>
          <w:tcPr>
            <w:tcW w:type="dxa" w:w="4536"/>
          </w:tcPr>
          <w:p>
            <w:r>
              <w:rPr>
                <w:rFonts w:ascii="Times New Roman" w:hAnsi="Times New Roman"/>
                <w:sz w:val="20"/>
              </w:rPr>
              <w:t>Erklärung</w:t>
            </w:r>
          </w:p>
        </w:tc>
      </w:tr>
    </w:tbl>
    <w:p>
      <w:pPr>
        <w:jc w:val="left"/>
      </w:pPr>
      <w:r>
        <w:t>Für Zusammenschlüsse mit klar begrenzten horizontalen Überschneidungen kann ein vereinfachtes Formular (Short Form CO) verwendet werden. Im vorliegenden Fall mit Post-Merger-Marktanteil von 57 % in Deutschland ist ein vollständiges Form CO erforderlich.</w:t>
      </w:r>
    </w:p>
    <w:p>
      <w:pPr>
        <w:pStyle w:val="Heading3"/>
      </w:pPr>
      <w:r>
        <w:rPr>
          <w:rFonts w:ascii="Times New Roman" w:hAnsi="Times New Roman"/>
        </w:rPr>
        <w:t>3.2 Pre-Notification Contacts</w:t>
      </w:r>
    </w:p>
    <w:p>
      <w:pPr>
        <w:jc w:val="left"/>
      </w:pPr>
      <w:r>
        <w:t>Vor formeller Einreichung des Form CO führt die Brüsseler Kanzlei Pre-Notification Contacts mit der Generaldirektion Wettbewerb (DG COMP) durch. Ziele:</w:t>
      </w:r>
    </w:p>
    <w:p>
      <w:pPr>
        <w:pStyle w:val="ListNumber"/>
      </w:pPr>
      <w:r>
        <w:t>Klärung des Umfangs der notwendigen Informationen (Scoping)</w:t>
      </w:r>
    </w:p>
    <w:p>
      <w:pPr>
        <w:pStyle w:val="ListNumber"/>
      </w:pPr>
      <w:r>
        <w:t>Abstimmung zur relevanten Marktabgrenzung (Orientierungshinweis der Kommission)</w:t>
      </w:r>
    </w:p>
    <w:p>
      <w:pPr>
        <w:pStyle w:val="ListNumber"/>
      </w:pPr>
      <w:r>
        <w:t>Vorprüfung der potentiellen Abhilfemaßnahmen (Remedies pre-notification)</w:t>
      </w:r>
    </w:p>
    <w:p>
      <w:pPr>
        <w:jc w:val="left"/>
      </w:pPr>
      <w:r>
        <w:t>Pre-Notification Contacts starteten am 15. März 2026 (parallel zur BKartA-Anmeldung). Erster Termin mit DG COMP-Referentin (COMP M-Einheit) am 22. März 2026 (Telekonferenz).</w:t>
      </w:r>
    </w:p>
    <w:p>
      <w:pPr>
        <w:pStyle w:val="Heading3"/>
      </w:pPr>
      <w:r>
        <w:rPr>
          <w:rFonts w:ascii="Times New Roman" w:hAnsi="Times New Roman"/>
        </w:rPr>
        <w:t>3.3 Executive Summary Form CO</w:t>
      </w:r>
    </w:p>
    <w:p>
      <w:pPr>
        <w:jc w:val="left"/>
      </w:pPr>
      <w:r>
        <w:t xml:space="preserve">Die Kanzlei erstellt für COMP M.92188 eine Executive Summary (s. zugehörige DOCX-Datei </w:t>
      </w:r>
      <w:r>
        <w:t>form_co_eu_komm_m92188_executive_summary.docx</w:t>
      </w:r>
      <w:r>
        <w:t>), die die wesentlichen Transaktions- und Marktdaten auf 15–20 Seiten komprimiert. Die EU-Kommission verwendet diese als ersten Orientierungsrahmen.</w:t>
      </w:r>
    </w:p>
    <w:p/>
    <w:p>
      <w:pPr>
        <w:pStyle w:val="Heading2"/>
      </w:pPr>
      <w:r>
        <w:rPr>
          <w:rFonts w:ascii="Times New Roman" w:hAnsi="Times New Roman"/>
        </w:rPr>
        <w:t>4. Unterschiede BKartA-Verfahren vs. EU-Verfahren</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Aspekt</w:t>
            </w:r>
          </w:p>
        </w:tc>
        <w:tc>
          <w:tcPr>
            <w:tcW w:type="dxa" w:w="3024"/>
          </w:tcPr>
          <w:p>
            <w:r>
              <w:rPr>
                <w:rFonts w:ascii="Times New Roman" w:hAnsi="Times New Roman"/>
                <w:b/>
                <w:sz w:val="20"/>
              </w:rPr>
              <w:t>BKartA</w:t>
            </w:r>
          </w:p>
        </w:tc>
        <w:tc>
          <w:tcPr>
            <w:tcW w:type="dxa" w:w="3024"/>
          </w:tcPr>
          <w:p>
            <w:r>
              <w:rPr>
                <w:rFonts w:ascii="Times New Roman" w:hAnsi="Times New Roman"/>
                <w:b/>
                <w:sz w:val="20"/>
              </w:rPr>
              <w:t>EU-Kommission</w:t>
            </w:r>
          </w:p>
        </w:tc>
      </w:tr>
      <w:tr>
        <w:tc>
          <w:tcPr>
            <w:tcW w:type="dxa" w:w="3024"/>
          </w:tcPr>
          <w:p>
            <w:r>
              <w:rPr>
                <w:rFonts w:ascii="Times New Roman" w:hAnsi="Times New Roman"/>
                <w:sz w:val="20"/>
              </w:rPr>
              <w:t>Rechtsgrundlage</w:t>
            </w:r>
          </w:p>
        </w:tc>
        <w:tc>
          <w:tcPr>
            <w:tcW w:type="dxa" w:w="3024"/>
          </w:tcPr>
          <w:p>
            <w:r>
              <w:rPr>
                <w:rFonts w:ascii="Times New Roman" w:hAnsi="Times New Roman"/>
                <w:sz w:val="20"/>
              </w:rPr>
              <w:t>§§ 35 ff. GWB</w:t>
            </w:r>
          </w:p>
        </w:tc>
        <w:tc>
          <w:tcPr>
            <w:tcW w:type="dxa" w:w="3024"/>
          </w:tcPr>
          <w:p>
            <w:r>
              <w:rPr>
                <w:rFonts w:ascii="Times New Roman" w:hAnsi="Times New Roman"/>
                <w:sz w:val="20"/>
              </w:rPr>
              <w:t>FKVO 139/2004</w:t>
            </w:r>
          </w:p>
        </w:tc>
      </w:tr>
      <w:tr>
        <w:tc>
          <w:tcPr>
            <w:tcW w:type="dxa" w:w="3024"/>
          </w:tcPr>
          <w:p>
            <w:r>
              <w:rPr>
                <w:rFonts w:ascii="Times New Roman" w:hAnsi="Times New Roman"/>
                <w:sz w:val="20"/>
              </w:rPr>
              <w:t>Anmeldeformular</w:t>
            </w:r>
          </w:p>
        </w:tc>
        <w:tc>
          <w:tcPr>
            <w:tcW w:type="dxa" w:w="3024"/>
          </w:tcPr>
          <w:p>
            <w:r>
              <w:rPr>
                <w:rFonts w:ascii="Times New Roman" w:hAnsi="Times New Roman"/>
                <w:sz w:val="20"/>
              </w:rPr>
              <w:t>Formblatt BKartA</w:t>
            </w:r>
          </w:p>
        </w:tc>
        <w:tc>
          <w:tcPr>
            <w:tcW w:type="dxa" w:w="3024"/>
          </w:tcPr>
          <w:p>
            <w:r>
              <w:rPr>
                <w:rFonts w:ascii="Times New Roman" w:hAnsi="Times New Roman"/>
                <w:sz w:val="20"/>
              </w:rPr>
              <w:t>Form CO</w:t>
            </w:r>
          </w:p>
        </w:tc>
      </w:tr>
      <w:tr>
        <w:tc>
          <w:tcPr>
            <w:tcW w:type="dxa" w:w="3024"/>
          </w:tcPr>
          <w:p>
            <w:r>
              <w:rPr>
                <w:rFonts w:ascii="Times New Roman" w:hAnsi="Times New Roman"/>
                <w:sz w:val="20"/>
              </w:rPr>
              <w:t>Sprache</w:t>
            </w:r>
          </w:p>
        </w:tc>
        <w:tc>
          <w:tcPr>
            <w:tcW w:type="dxa" w:w="3024"/>
          </w:tcPr>
          <w:p>
            <w:r>
              <w:rPr>
                <w:rFonts w:ascii="Times New Roman" w:hAnsi="Times New Roman"/>
                <w:sz w:val="20"/>
              </w:rPr>
              <w:t>Deutsch</w:t>
            </w:r>
          </w:p>
        </w:tc>
        <w:tc>
          <w:tcPr>
            <w:tcW w:type="dxa" w:w="3024"/>
          </w:tcPr>
          <w:p>
            <w:r>
              <w:rPr>
                <w:rFonts w:ascii="Times New Roman" w:hAnsi="Times New Roman"/>
                <w:sz w:val="20"/>
              </w:rPr>
              <w:t>Englisch (DE möglich)</w:t>
            </w:r>
          </w:p>
        </w:tc>
      </w:tr>
      <w:tr>
        <w:tc>
          <w:tcPr>
            <w:tcW w:type="dxa" w:w="3024"/>
          </w:tcPr>
          <w:p>
            <w:r>
              <w:rPr>
                <w:rFonts w:ascii="Times New Roman" w:hAnsi="Times New Roman"/>
                <w:sz w:val="20"/>
              </w:rPr>
              <w:t>Phase-I-Frist</w:t>
            </w:r>
          </w:p>
        </w:tc>
        <w:tc>
          <w:tcPr>
            <w:tcW w:type="dxa" w:w="3024"/>
          </w:tcPr>
          <w:p>
            <w:r>
              <w:rPr>
                <w:rFonts w:ascii="Times New Roman" w:hAnsi="Times New Roman"/>
                <w:sz w:val="20"/>
              </w:rPr>
              <w:t>1 Monat</w:t>
            </w:r>
          </w:p>
        </w:tc>
        <w:tc>
          <w:tcPr>
            <w:tcW w:type="dxa" w:w="3024"/>
          </w:tcPr>
          <w:p>
            <w:r>
              <w:rPr>
                <w:rFonts w:ascii="Times New Roman" w:hAnsi="Times New Roman"/>
                <w:sz w:val="20"/>
              </w:rPr>
              <w:t>25 Arbeitstage</w:t>
            </w:r>
          </w:p>
        </w:tc>
      </w:tr>
      <w:tr>
        <w:tc>
          <w:tcPr>
            <w:tcW w:type="dxa" w:w="3024"/>
          </w:tcPr>
          <w:p>
            <w:r>
              <w:rPr>
                <w:rFonts w:ascii="Times New Roman" w:hAnsi="Times New Roman"/>
                <w:sz w:val="20"/>
              </w:rPr>
              <w:t>Phase-II-Frist</w:t>
            </w:r>
          </w:p>
        </w:tc>
        <w:tc>
          <w:tcPr>
            <w:tcW w:type="dxa" w:w="3024"/>
          </w:tcPr>
          <w:p>
            <w:r>
              <w:rPr>
                <w:rFonts w:ascii="Times New Roman" w:hAnsi="Times New Roman"/>
                <w:sz w:val="20"/>
              </w:rPr>
              <w:t>bis 4 Monate zusätzlich</w:t>
            </w:r>
          </w:p>
        </w:tc>
        <w:tc>
          <w:tcPr>
            <w:tcW w:type="dxa" w:w="3024"/>
          </w:tcPr>
          <w:p>
            <w:r>
              <w:rPr>
                <w:rFonts w:ascii="Times New Roman" w:hAnsi="Times New Roman"/>
                <w:sz w:val="20"/>
              </w:rPr>
              <w:t>90 Arbeitstage (+ 15 AT Verlängerung)</w:t>
            </w:r>
          </w:p>
        </w:tc>
      </w:tr>
      <w:tr>
        <w:tc>
          <w:tcPr>
            <w:tcW w:type="dxa" w:w="3024"/>
          </w:tcPr>
          <w:p>
            <w:r>
              <w:rPr>
                <w:rFonts w:ascii="Times New Roman" w:hAnsi="Times New Roman"/>
                <w:sz w:val="20"/>
              </w:rPr>
              <w:t>Abhilfemaßnahmen Phase I</w:t>
            </w:r>
          </w:p>
        </w:tc>
        <w:tc>
          <w:tcPr>
            <w:tcW w:type="dxa" w:w="3024"/>
          </w:tcPr>
          <w:p>
            <w:r>
              <w:rPr>
                <w:rFonts w:ascii="Times New Roman" w:hAnsi="Times New Roman"/>
                <w:sz w:val="20"/>
              </w:rPr>
              <w:t>Möglich</w:t>
            </w:r>
          </w:p>
        </w:tc>
        <w:tc>
          <w:tcPr>
            <w:tcW w:type="dxa" w:w="3024"/>
          </w:tcPr>
          <w:p>
            <w:r>
              <w:rPr>
                <w:rFonts w:ascii="Times New Roman" w:hAnsi="Times New Roman"/>
                <w:sz w:val="20"/>
              </w:rPr>
              <w:t>Möglich (selten)</w:t>
            </w:r>
          </w:p>
        </w:tc>
      </w:tr>
      <w:tr>
        <w:tc>
          <w:tcPr>
            <w:tcW w:type="dxa" w:w="3024"/>
          </w:tcPr>
          <w:p>
            <w:r>
              <w:rPr>
                <w:rFonts w:ascii="Times New Roman" w:hAnsi="Times New Roman"/>
                <w:sz w:val="20"/>
              </w:rPr>
              <w:t>Abhilfemaßnahmen Phase II</w:t>
            </w:r>
          </w:p>
        </w:tc>
        <w:tc>
          <w:tcPr>
            <w:tcW w:type="dxa" w:w="3024"/>
          </w:tcPr>
          <w:p>
            <w:r>
              <w:rPr>
                <w:rFonts w:ascii="Times New Roman" w:hAnsi="Times New Roman"/>
                <w:sz w:val="20"/>
              </w:rPr>
              <w:t>Standard</w:t>
            </w:r>
          </w:p>
        </w:tc>
        <w:tc>
          <w:tcPr>
            <w:tcW w:type="dxa" w:w="3024"/>
          </w:tcPr>
          <w:p>
            <w:r>
              <w:rPr>
                <w:rFonts w:ascii="Times New Roman" w:hAnsi="Times New Roman"/>
                <w:sz w:val="20"/>
              </w:rPr>
              <w:t>Standard</w:t>
            </w:r>
          </w:p>
        </w:tc>
      </w:tr>
      <w:tr>
        <w:tc>
          <w:tcPr>
            <w:tcW w:type="dxa" w:w="3024"/>
          </w:tcPr>
          <w:p>
            <w:r>
              <w:rPr>
                <w:rFonts w:ascii="Times New Roman" w:hAnsi="Times New Roman"/>
                <w:sz w:val="20"/>
              </w:rPr>
              <w:t>Prüfmaßstab</w:t>
            </w:r>
          </w:p>
        </w:tc>
        <w:tc>
          <w:tcPr>
            <w:tcW w:type="dxa" w:w="3024"/>
          </w:tcPr>
          <w:p>
            <w:r>
              <w:rPr>
                <w:rFonts w:ascii="Times New Roman" w:hAnsi="Times New Roman"/>
                <w:sz w:val="20"/>
              </w:rPr>
              <w:t>SIEC-Test (§ 36 GWB)</w:t>
            </w:r>
          </w:p>
        </w:tc>
        <w:tc>
          <w:tcPr>
            <w:tcW w:type="dxa" w:w="3024"/>
          </w:tcPr>
          <w:p>
            <w:r>
              <w:rPr>
                <w:rFonts w:ascii="Times New Roman" w:hAnsi="Times New Roman"/>
                <w:sz w:val="20"/>
              </w:rPr>
              <w:t>SIEC-Test (Art. 2 FKVO)</w:t>
            </w:r>
          </w:p>
        </w:tc>
      </w:tr>
      <w:tr>
        <w:tc>
          <w:tcPr>
            <w:tcW w:type="dxa" w:w="3024"/>
          </w:tcPr>
          <w:p>
            <w:r>
              <w:rPr>
                <w:rFonts w:ascii="Times New Roman" w:hAnsi="Times New Roman"/>
                <w:sz w:val="20"/>
              </w:rPr>
              <w:t>Drittbeschwerde</w:t>
            </w:r>
          </w:p>
        </w:tc>
        <w:tc>
          <w:tcPr>
            <w:tcW w:type="dxa" w:w="3024"/>
          </w:tcPr>
          <w:p>
            <w:r>
              <w:rPr>
                <w:rFonts w:ascii="Times New Roman" w:hAnsi="Times New Roman"/>
                <w:sz w:val="20"/>
              </w:rPr>
              <w:t>§ 54 GWB</w:t>
            </w:r>
          </w:p>
        </w:tc>
        <w:tc>
          <w:tcPr>
            <w:tcW w:type="dxa" w:w="3024"/>
          </w:tcPr>
          <w:p>
            <w:r>
              <w:rPr>
                <w:rFonts w:ascii="Times New Roman" w:hAnsi="Times New Roman"/>
                <w:sz w:val="20"/>
              </w:rPr>
              <w:t>Art. 18 FKVO</w:t>
            </w:r>
          </w:p>
        </w:tc>
      </w:tr>
      <w:tr>
        <w:tc>
          <w:tcPr>
            <w:tcW w:type="dxa" w:w="3024"/>
          </w:tcPr>
          <w:p>
            <w:r>
              <w:rPr>
                <w:rFonts w:ascii="Times New Roman" w:hAnsi="Times New Roman"/>
                <w:sz w:val="20"/>
              </w:rPr>
              <w:t>Ministererlaubnis</w:t>
            </w:r>
          </w:p>
        </w:tc>
        <w:tc>
          <w:tcPr>
            <w:tcW w:type="dxa" w:w="3024"/>
          </w:tcPr>
          <w:p>
            <w:r>
              <w:rPr>
                <w:rFonts w:ascii="Times New Roman" w:hAnsi="Times New Roman"/>
                <w:sz w:val="20"/>
              </w:rPr>
              <w:t>§ 42 GWB</w:t>
            </w:r>
          </w:p>
        </w:tc>
        <w:tc>
          <w:tcPr>
            <w:tcW w:type="dxa" w:w="3024"/>
          </w:tcPr>
          <w:p>
            <w:r>
              <w:rPr>
                <w:rFonts w:ascii="Times New Roman" w:hAnsi="Times New Roman"/>
                <w:sz w:val="20"/>
              </w:rPr>
              <w:t>Nicht vorgesehen</w:t>
            </w:r>
          </w:p>
        </w:tc>
      </w:tr>
    </w:tbl>
    <w:p/>
    <w:p>
      <w:pPr>
        <w:pStyle w:val="Heading2"/>
      </w:pPr>
      <w:r>
        <w:rPr>
          <w:rFonts w:ascii="Times New Roman" w:hAnsi="Times New Roman"/>
        </w:rPr>
        <w:t>5. SIEC-Test nach FKVO 139/2004</w:t>
      </w:r>
    </w:p>
    <w:p>
      <w:pPr>
        <w:jc w:val="left"/>
      </w:pPr>
      <w:r>
        <w:t>Art. 2 Abs. 3 FKVO 139/2004 untersagt Zusammenschlüsse, die den wirksamen Wettbewerb im Gemeinsamen Markt oder in einem wesentlichen Teil davon erheblich beeinträchtigen würden (Significant Impediment to Effective Competition — SIEC). (EUR-Lex)</w:t>
      </w:r>
    </w:p>
    <w:p>
      <w:pPr>
        <w:jc w:val="left"/>
      </w:pPr>
      <w:r>
        <w:t>Insbesondere gilt dies, wenn durch den Zusammenschluss eine marktbeherrschende Stellung begründet oder verstärkt wird. Aber auch ohne Marktbeherrschung kann der SIEC-Test einschlägig sein (nicht-koordinierte, unilaterale Effekte in oligopolistischen Märkten — EuGH C-202/06, Cementbouw).</w:t>
      </w:r>
    </w:p>
    <w:p>
      <w:pPr>
        <w:jc w:val="left"/>
      </w:pPr>
      <w:r>
        <w:t>Im vorliegenden Fall wird die Kommission primär auf (i) unilaterale Effekte (Post-Merger-Marktanteil 57 % DE) und (ii) koordinierte Effekte (Duopol GBW/Rehme) abstellen.</w:t>
      </w:r>
    </w:p>
    <w:p/>
    <w:p>
      <w:pPr>
        <w:pStyle w:val="Heading2"/>
      </w:pPr>
      <w:r>
        <w:rPr>
          <w:rFonts w:ascii="Times New Roman" w:hAnsi="Times New Roman"/>
        </w:rPr>
        <w:t>Quellen</w:t>
      </w:r>
    </w:p>
    <w:p>
      <w:pPr>
        <w:pStyle w:val="ListBullet"/>
      </w:pPr>
      <w:r>
        <w:t>Art. 1, 2, 22 FKVO 139/2004: EUR-Lex</w:t>
      </w:r>
    </w:p>
    <w:p>
      <w:pPr>
        <w:pStyle w:val="ListBullet"/>
      </w:pPr>
      <w:r>
        <w:t>Leitlinie Art. 22 FKVO vom 31.03.2021: EUR-Lex</w:t>
      </w:r>
    </w:p>
    <w:p>
      <w:pPr>
        <w:pStyle w:val="ListBullet"/>
      </w:pPr>
      <w:r>
        <w:t>EuGH C-202/06 Cementbouw (SIEC-Test): EUR-Lex</w:t>
      </w:r>
    </w:p>
    <w:p>
      <w:pPr>
        <w:pStyle w:val="ListBullet"/>
      </w:pPr>
      <w:r>
        <w:t>Durchführungsverordnung (EU) 2023/914 (Form CO): EUR-Lex</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