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Phase-I-Voranalyse und Prüfraster — BKartA / EU-Kommission</w:t>
      </w:r>
    </w:p>
    <w:p>
      <w:pPr>
        <w:jc w:val="left"/>
      </w:pPr>
      <w:r>
        <w:t>Datum: 20. März 2026</w:t>
      </w:r>
    </w:p>
    <w:p>
      <w:pPr>
        <w:jc w:val="left"/>
      </w:pPr>
      <w:r>
        <w:t>Bearbeiter: RA Stefan Brinkmeier, RAin Dr. Annette van Hove</w:t>
      </w:r>
    </w:p>
    <w:p>
      <w:pPr>
        <w:jc w:val="left"/>
      </w:pPr>
      <w:r>
        <w:t>Aktenzeichen: SW/2026/KA-0318 | BKartA B6-188-26 | EU COMP M.92188</w:t>
      </w:r>
    </w:p>
    <w:p/>
    <w:p>
      <w:pPr>
        <w:pStyle w:val="Heading2"/>
      </w:pPr>
      <w:r>
        <w:rPr>
          <w:rFonts w:ascii="Times New Roman" w:hAnsi="Times New Roman"/>
        </w:rPr>
        <w:t>1. Prüfraster Phase I — BKartA</w:t>
      </w:r>
    </w:p>
    <w:p>
      <w:pPr>
        <w:jc w:val="left"/>
      </w:pPr>
      <w:r>
        <w:t>Das BKartA prüft in Phase I (Monatsfrist, § 40 Abs. 1 GWB) anhand eines standardisierten Prüfrasters. Die Kanzlei hat das Raster auf Basis bisheriger BKartA-Beschlüsse im Baubereich (B6-67/14-T/17; B4-55/19) und der Jahresberichte 2023/2024 rekonstruiert: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Prüfschritt</w:t>
            </w:r>
          </w:p>
        </w:tc>
        <w:tc>
          <w:tcPr>
            <w:tcW w:type="dxa" w:w="3024"/>
          </w:tcPr>
          <w:p>
            <w:r>
              <w:rPr>
                <w:rFonts w:ascii="Times New Roman" w:hAnsi="Times New Roman"/>
                <w:b/>
                <w:sz w:val="20"/>
              </w:rPr>
              <w:t>Inhalt</w:t>
            </w:r>
          </w:p>
        </w:tc>
        <w:tc>
          <w:tcPr>
            <w:tcW w:type="dxa" w:w="3024"/>
          </w:tcPr>
          <w:p>
            <w:r>
              <w:rPr>
                <w:rFonts w:ascii="Times New Roman" w:hAnsi="Times New Roman"/>
                <w:b/>
                <w:sz w:val="20"/>
              </w:rPr>
              <w:t>Relevanz im vorl. Fall</w:t>
            </w:r>
          </w:p>
        </w:tc>
      </w:tr>
      <w:tr>
        <w:tc>
          <w:tcPr>
            <w:tcW w:type="dxa" w:w="3024"/>
          </w:tcPr>
          <w:p>
            <w:r>
              <w:rPr>
                <w:rFonts w:ascii="Times New Roman" w:hAnsi="Times New Roman"/>
                <w:sz w:val="20"/>
              </w:rPr>
              <w:t>1. Aufgreifkriterien</w:t>
            </w:r>
          </w:p>
        </w:tc>
        <w:tc>
          <w:tcPr>
            <w:tcW w:type="dxa" w:w="3024"/>
          </w:tcPr>
          <w:p>
            <w:r>
              <w:rPr>
                <w:rFonts w:ascii="Times New Roman" w:hAnsi="Times New Roman"/>
                <w:sz w:val="20"/>
              </w:rPr>
              <w:t>§ 35 Abs. 1a GWB erfüllt?</w:t>
            </w:r>
          </w:p>
        </w:tc>
        <w:tc>
          <w:tcPr>
            <w:tcW w:type="dxa" w:w="3024"/>
          </w:tcPr>
          <w:p>
            <w:r>
              <w:rPr>
                <w:rFonts w:ascii="Times New Roman" w:hAnsi="Times New Roman"/>
                <w:sz w:val="20"/>
              </w:rPr>
              <w:t>Ja — bejaht</w:t>
            </w:r>
          </w:p>
        </w:tc>
      </w:tr>
      <w:tr>
        <w:tc>
          <w:tcPr>
            <w:tcW w:type="dxa" w:w="3024"/>
          </w:tcPr>
          <w:p>
            <w:r>
              <w:rPr>
                <w:rFonts w:ascii="Times New Roman" w:hAnsi="Times New Roman"/>
                <w:sz w:val="20"/>
              </w:rPr>
              <w:t>2. Art des Zusammenschlusses</w:t>
            </w:r>
          </w:p>
        </w:tc>
        <w:tc>
          <w:tcPr>
            <w:tcW w:type="dxa" w:w="3024"/>
          </w:tcPr>
          <w:p>
            <w:r>
              <w:rPr>
                <w:rFonts w:ascii="Times New Roman" w:hAnsi="Times New Roman"/>
                <w:sz w:val="20"/>
              </w:rPr>
              <w:t>§ 37 GWB</w:t>
            </w:r>
          </w:p>
        </w:tc>
        <w:tc>
          <w:tcPr>
            <w:tcW w:type="dxa" w:w="3024"/>
          </w:tcPr>
          <w:p>
            <w:r>
              <w:rPr>
                <w:rFonts w:ascii="Times New Roman" w:hAnsi="Times New Roman"/>
                <w:sz w:val="20"/>
              </w:rPr>
              <w:t>Anteilserwerb 100 %</w:t>
            </w:r>
          </w:p>
        </w:tc>
      </w:tr>
      <w:tr>
        <w:tc>
          <w:tcPr>
            <w:tcW w:type="dxa" w:w="3024"/>
          </w:tcPr>
          <w:p>
            <w:r>
              <w:rPr>
                <w:rFonts w:ascii="Times New Roman" w:hAnsi="Times New Roman"/>
                <w:sz w:val="20"/>
              </w:rPr>
              <w:t>3. Vollständigkeit Anmeldung</w:t>
            </w:r>
          </w:p>
        </w:tc>
        <w:tc>
          <w:tcPr>
            <w:tcW w:type="dxa" w:w="3024"/>
          </w:tcPr>
          <w:p>
            <w:r>
              <w:rPr>
                <w:rFonts w:ascii="Times New Roman" w:hAnsi="Times New Roman"/>
                <w:sz w:val="20"/>
              </w:rPr>
              <w:t>§ 39 Abs. 3 GWB</w:t>
            </w:r>
          </w:p>
        </w:tc>
        <w:tc>
          <w:tcPr>
            <w:tcW w:type="dxa" w:w="3024"/>
          </w:tcPr>
          <w:p>
            <w:r>
              <w:rPr>
                <w:rFonts w:ascii="Times New Roman" w:hAnsi="Times New Roman"/>
                <w:sz w:val="20"/>
              </w:rPr>
              <w:t>Teilweise noch offen</w:t>
            </w:r>
          </w:p>
        </w:tc>
      </w:tr>
      <w:tr>
        <w:tc>
          <w:tcPr>
            <w:tcW w:type="dxa" w:w="3024"/>
          </w:tcPr>
          <w:p>
            <w:r>
              <w:rPr>
                <w:rFonts w:ascii="Times New Roman" w:hAnsi="Times New Roman"/>
                <w:sz w:val="20"/>
              </w:rPr>
              <w:t>4. Sachliche Marktabgrenzung</w:t>
            </w:r>
          </w:p>
        </w:tc>
        <w:tc>
          <w:tcPr>
            <w:tcW w:type="dxa" w:w="3024"/>
          </w:tcPr>
          <w:p>
            <w:r>
              <w:rPr>
                <w:rFonts w:ascii="Times New Roman" w:hAnsi="Times New Roman"/>
                <w:sz w:val="20"/>
              </w:rPr>
              <w:t>SSNIP, Bedarfsmarktkonzept</w:t>
            </w:r>
          </w:p>
        </w:tc>
        <w:tc>
          <w:tcPr>
            <w:tcW w:type="dxa" w:w="3024"/>
          </w:tcPr>
          <w:p>
            <w:r>
              <w:rPr>
                <w:rFonts w:ascii="Times New Roman" w:hAnsi="Times New Roman"/>
                <w:sz w:val="20"/>
              </w:rPr>
              <w:t>Streitiger Kernpunkt</w:t>
            </w:r>
          </w:p>
        </w:tc>
      </w:tr>
      <w:tr>
        <w:tc>
          <w:tcPr>
            <w:tcW w:type="dxa" w:w="3024"/>
          </w:tcPr>
          <w:p>
            <w:r>
              <w:rPr>
                <w:rFonts w:ascii="Times New Roman" w:hAnsi="Times New Roman"/>
                <w:sz w:val="20"/>
              </w:rPr>
              <w:t>5. Räumliche Marktabgrenzung</w:t>
            </w:r>
          </w:p>
        </w:tc>
        <w:tc>
          <w:tcPr>
            <w:tcW w:type="dxa" w:w="3024"/>
          </w:tcPr>
          <w:p>
            <w:r>
              <w:rPr>
                <w:rFonts w:ascii="Times New Roman" w:hAnsi="Times New Roman"/>
                <w:sz w:val="20"/>
              </w:rPr>
              <w:t>National / EWR</w:t>
            </w:r>
          </w:p>
        </w:tc>
        <w:tc>
          <w:tcPr>
            <w:tcW w:type="dxa" w:w="3024"/>
          </w:tcPr>
          <w:p>
            <w:r>
              <w:rPr>
                <w:rFonts w:ascii="Times New Roman" w:hAnsi="Times New Roman"/>
                <w:sz w:val="20"/>
              </w:rPr>
              <w:t>Streitiger Kernpunkt</w:t>
            </w:r>
          </w:p>
        </w:tc>
      </w:tr>
      <w:tr>
        <w:tc>
          <w:tcPr>
            <w:tcW w:type="dxa" w:w="3024"/>
          </w:tcPr>
          <w:p>
            <w:r>
              <w:rPr>
                <w:rFonts w:ascii="Times New Roman" w:hAnsi="Times New Roman"/>
                <w:sz w:val="20"/>
              </w:rPr>
              <w:t>6. Marktanteile</w:t>
            </w:r>
          </w:p>
        </w:tc>
        <w:tc>
          <w:tcPr>
            <w:tcW w:type="dxa" w:w="3024"/>
          </w:tcPr>
          <w:p>
            <w:r>
              <w:rPr>
                <w:rFonts w:ascii="Times New Roman" w:hAnsi="Times New Roman"/>
                <w:sz w:val="20"/>
              </w:rPr>
              <w:t>Vorläufige Berechnung</w:t>
            </w:r>
          </w:p>
        </w:tc>
        <w:tc>
          <w:tcPr>
            <w:tcW w:type="dxa" w:w="3024"/>
          </w:tcPr>
          <w:p>
            <w:r>
              <w:rPr>
                <w:rFonts w:ascii="Times New Roman" w:hAnsi="Times New Roman"/>
                <w:sz w:val="20"/>
              </w:rPr>
              <w:t>ca. 57 % post-merger</w:t>
            </w:r>
          </w:p>
        </w:tc>
      </w:tr>
      <w:tr>
        <w:tc>
          <w:tcPr>
            <w:tcW w:type="dxa" w:w="3024"/>
          </w:tcPr>
          <w:p>
            <w:r>
              <w:rPr>
                <w:rFonts w:ascii="Times New Roman" w:hAnsi="Times New Roman"/>
                <w:sz w:val="20"/>
              </w:rPr>
              <w:t>7. Marktbeherrschung</w:t>
            </w:r>
          </w:p>
        </w:tc>
        <w:tc>
          <w:tcPr>
            <w:tcW w:type="dxa" w:w="3024"/>
          </w:tcPr>
          <w:p>
            <w:r>
              <w:rPr>
                <w:rFonts w:ascii="Times New Roman" w:hAnsi="Times New Roman"/>
                <w:sz w:val="20"/>
              </w:rPr>
              <w:t>§ 18 Abs. 1, Abs. 4 GWB</w:t>
            </w:r>
          </w:p>
        </w:tc>
        <w:tc>
          <w:tcPr>
            <w:tcW w:type="dxa" w:w="3024"/>
          </w:tcPr>
          <w:p>
            <w:r>
              <w:rPr>
                <w:rFonts w:ascii="Times New Roman" w:hAnsi="Times New Roman"/>
                <w:sz w:val="20"/>
              </w:rPr>
              <w:t>Vermutung ausgelöst</w:t>
            </w:r>
          </w:p>
        </w:tc>
      </w:tr>
      <w:tr>
        <w:tc>
          <w:tcPr>
            <w:tcW w:type="dxa" w:w="3024"/>
          </w:tcPr>
          <w:p>
            <w:r>
              <w:rPr>
                <w:rFonts w:ascii="Times New Roman" w:hAnsi="Times New Roman"/>
                <w:sz w:val="20"/>
              </w:rPr>
              <w:t>8. SIEC-Test</w:t>
            </w:r>
          </w:p>
        </w:tc>
        <w:tc>
          <w:tcPr>
            <w:tcW w:type="dxa" w:w="3024"/>
          </w:tcPr>
          <w:p>
            <w:r>
              <w:rPr>
                <w:rFonts w:ascii="Times New Roman" w:hAnsi="Times New Roman"/>
                <w:sz w:val="20"/>
              </w:rPr>
              <w:t>§ 36 Abs. 1 GWB</w:t>
            </w:r>
          </w:p>
        </w:tc>
        <w:tc>
          <w:tcPr>
            <w:tcW w:type="dxa" w:w="3024"/>
          </w:tcPr>
          <w:p>
            <w:r>
              <w:rPr>
                <w:rFonts w:ascii="Times New Roman" w:hAnsi="Times New Roman"/>
                <w:sz w:val="20"/>
              </w:rPr>
              <w:t>Erhebliche Bedenken</w:t>
            </w:r>
          </w:p>
        </w:tc>
      </w:tr>
      <w:tr>
        <w:tc>
          <w:tcPr>
            <w:tcW w:type="dxa" w:w="3024"/>
          </w:tcPr>
          <w:p>
            <w:r>
              <w:rPr>
                <w:rFonts w:ascii="Times New Roman" w:hAnsi="Times New Roman"/>
                <w:sz w:val="20"/>
              </w:rPr>
              <w:t>9. Abhilfemaßnahmen Phase I</w:t>
            </w:r>
          </w:p>
        </w:tc>
        <w:tc>
          <w:tcPr>
            <w:tcW w:type="dxa" w:w="3024"/>
          </w:tcPr>
          <w:p>
            <w:r>
              <w:rPr>
                <w:rFonts w:ascii="Times New Roman" w:hAnsi="Times New Roman"/>
                <w:sz w:val="20"/>
              </w:rPr>
              <w:t>Strukturelle/verhaltensbezogene Auflagen</w:t>
            </w:r>
          </w:p>
        </w:tc>
        <w:tc>
          <w:tcPr>
            <w:tcW w:type="dxa" w:w="3024"/>
          </w:tcPr>
          <w:p>
            <w:r>
              <w:rPr>
                <w:rFonts w:ascii="Times New Roman" w:hAnsi="Times New Roman"/>
                <w:sz w:val="20"/>
              </w:rPr>
              <w:t>Carve-out Bielefeld angeboten</w:t>
            </w:r>
          </w:p>
        </w:tc>
      </w:tr>
      <w:tr>
        <w:tc>
          <w:tcPr>
            <w:tcW w:type="dxa" w:w="3024"/>
          </w:tcPr>
          <w:p>
            <w:r>
              <w:rPr>
                <w:rFonts w:ascii="Times New Roman" w:hAnsi="Times New Roman"/>
                <w:sz w:val="20"/>
              </w:rPr>
              <w:t>10. Freigabe / Untersagung / Phase II</w:t>
            </w:r>
          </w:p>
        </w:tc>
        <w:tc>
          <w:tcPr>
            <w:tcW w:type="dxa" w:w="3024"/>
          </w:tcPr>
          <w:p>
            <w:r>
              <w:rPr>
                <w:rFonts w:ascii="Times New Roman" w:hAnsi="Times New Roman"/>
                <w:sz w:val="20"/>
              </w:rPr>
              <w:t>§ 40 Abs. 2 GWB</w:t>
            </w:r>
          </w:p>
        </w:tc>
        <w:tc>
          <w:tcPr>
            <w:tcW w:type="dxa" w:w="3024"/>
          </w:tcPr>
          <w:p>
            <w:r>
              <w:rPr>
                <w:rFonts w:ascii="Times New Roman" w:hAnsi="Times New Roman"/>
                <w:sz w:val="20"/>
              </w:rPr>
              <w:t>Phase II wahrscheinlich</w:t>
            </w:r>
          </w:p>
        </w:tc>
      </w:tr>
    </w:tbl>
    <w:p>
      <w:pPr>
        <w:pStyle w:val="Heading3"/>
      </w:pPr>
      <w:r>
        <w:rPr>
          <w:rFonts w:ascii="Times New Roman" w:hAnsi="Times New Roman"/>
        </w:rPr>
        <w:t>1.1 Erste Stellungnahme BKartA (intern geschätzt)</w:t>
      </w:r>
    </w:p>
    <w:p>
      <w:pPr>
        <w:jc w:val="left"/>
      </w:pPr>
      <w:r>
        <w:t>Auf Basis der Anmeldung und des Pre-Notification-Gesprächs rechnet die Kanzlei mit folgender BKartA-Reaktion in Phase I:</w:t>
      </w:r>
    </w:p>
    <w:p>
      <w:pPr>
        <w:pStyle w:val="ListBullet"/>
      </w:pPr>
      <w:r>
        <w:t>Eröffnung eines förmlichen Phase-I-Prüfverfahrens (Understatement)</w:t>
      </w:r>
    </w:p>
    <w:p>
      <w:pPr>
        <w:pStyle w:val="ListBullet"/>
      </w:pPr>
      <w:r>
        <w:t>Marktbefragung bei Wettbewerbern (Rehme, Lausitz) und Abnehmern (DB InfraGO AG, Netz Betreiber Ruhr) gemäß § 39 Abs. 2 GWB</w:t>
      </w:r>
    </w:p>
    <w:p>
      <w:pPr>
        <w:pStyle w:val="ListBullet"/>
      </w:pPr>
      <w:r>
        <w:t>Anforderung ergänzender Unterlagen (Stop the Clock bis ca. Mitte April 2026)</w:t>
      </w:r>
    </w:p>
    <w:p>
      <w:pPr>
        <w:pStyle w:val="ListBullet"/>
      </w:pPr>
      <w:r>
        <w:t>Ankündigung Phase II bis Ende April 2026 (bei unverändertem Sachstand)</w:t>
      </w:r>
    </w:p>
    <w:p/>
    <w:p>
      <w:pPr>
        <w:pStyle w:val="Heading2"/>
      </w:pPr>
      <w:r>
        <w:rPr>
          <w:rFonts w:ascii="Times New Roman" w:hAnsi="Times New Roman"/>
        </w:rPr>
        <w:t>2. Prüfraster Phase I — EU-Kommission</w:t>
      </w:r>
    </w:p>
    <w:p>
      <w:pPr>
        <w:jc w:val="left"/>
      </w:pPr>
      <w:r>
        <w:t>Die Kommission prüft in Phase I (25 Arbeitstage) nach einem ähnlichen Raster: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Prüfschritt</w:t>
            </w:r>
          </w:p>
        </w:tc>
        <w:tc>
          <w:tcPr>
            <w:tcW w:type="dxa" w:w="3024"/>
          </w:tcPr>
          <w:p>
            <w:r>
              <w:rPr>
                <w:rFonts w:ascii="Times New Roman" w:hAnsi="Times New Roman"/>
                <w:b/>
                <w:sz w:val="20"/>
              </w:rPr>
              <w:t>Rechtsgrundlage</w:t>
            </w:r>
          </w:p>
        </w:tc>
        <w:tc>
          <w:tcPr>
            <w:tcW w:type="dxa" w:w="3024"/>
          </w:tcPr>
          <w:p>
            <w:r>
              <w:rPr>
                <w:rFonts w:ascii="Times New Roman" w:hAnsi="Times New Roman"/>
                <w:b/>
                <w:sz w:val="20"/>
              </w:rPr>
              <w:t>Ergebnis (Prognose)</w:t>
            </w:r>
          </w:p>
        </w:tc>
      </w:tr>
      <w:tr>
        <w:tc>
          <w:tcPr>
            <w:tcW w:type="dxa" w:w="3024"/>
          </w:tcPr>
          <w:p>
            <w:r>
              <w:rPr>
                <w:rFonts w:ascii="Times New Roman" w:hAnsi="Times New Roman"/>
                <w:sz w:val="20"/>
              </w:rPr>
              <w:t>Anmeldevollständigkeit</w:t>
            </w:r>
          </w:p>
        </w:tc>
        <w:tc>
          <w:tcPr>
            <w:tcW w:type="dxa" w:w="3024"/>
          </w:tcPr>
          <w:p>
            <w:r>
              <w:rPr>
                <w:rFonts w:ascii="Times New Roman" w:hAnsi="Times New Roman"/>
                <w:sz w:val="20"/>
              </w:rPr>
              <w:t>Art. 4 FKVO</w:t>
            </w:r>
          </w:p>
        </w:tc>
        <w:tc>
          <w:tcPr>
            <w:tcW w:type="dxa" w:w="3024"/>
          </w:tcPr>
          <w:p>
            <w:r>
              <w:rPr>
                <w:rFonts w:ascii="Times New Roman" w:hAnsi="Times New Roman"/>
                <w:sz w:val="20"/>
              </w:rPr>
              <w:t>Pre-notification abgeschlossen</w:t>
            </w:r>
          </w:p>
        </w:tc>
      </w:tr>
      <w:tr>
        <w:tc>
          <w:tcPr>
            <w:tcW w:type="dxa" w:w="3024"/>
          </w:tcPr>
          <w:p>
            <w:r>
              <w:rPr>
                <w:rFonts w:ascii="Times New Roman" w:hAnsi="Times New Roman"/>
                <w:sz w:val="20"/>
              </w:rPr>
              <w:t>Zuständigkeit nach Art. 22</w:t>
            </w:r>
          </w:p>
        </w:tc>
        <w:tc>
          <w:tcPr>
            <w:tcW w:type="dxa" w:w="3024"/>
          </w:tcPr>
          <w:p>
            <w:r>
              <w:rPr>
                <w:rFonts w:ascii="Times New Roman" w:hAnsi="Times New Roman"/>
                <w:sz w:val="20"/>
              </w:rPr>
              <w:t>Art. 22 FKVO</w:t>
            </w:r>
          </w:p>
        </w:tc>
        <w:tc>
          <w:tcPr>
            <w:tcW w:type="dxa" w:w="3024"/>
          </w:tcPr>
          <w:p>
            <w:r>
              <w:rPr>
                <w:rFonts w:ascii="Times New Roman" w:hAnsi="Times New Roman"/>
                <w:sz w:val="20"/>
              </w:rPr>
              <w:t>Verweisung angenommen</w:t>
            </w:r>
          </w:p>
        </w:tc>
      </w:tr>
      <w:tr>
        <w:tc>
          <w:tcPr>
            <w:tcW w:type="dxa" w:w="3024"/>
          </w:tcPr>
          <w:p>
            <w:r>
              <w:rPr>
                <w:rFonts w:ascii="Times New Roman" w:hAnsi="Times New Roman"/>
                <w:sz w:val="20"/>
              </w:rPr>
              <w:t>Sachliche Marktabgrenzung</w:t>
            </w:r>
          </w:p>
        </w:tc>
        <w:tc>
          <w:tcPr>
            <w:tcW w:type="dxa" w:w="3024"/>
          </w:tcPr>
          <w:p>
            <w:r>
              <w:rPr>
                <w:rFonts w:ascii="Times New Roman" w:hAnsi="Times New Roman"/>
                <w:sz w:val="20"/>
              </w:rPr>
              <w:t>Bekanntmachung Marktdefinition</w:t>
            </w:r>
          </w:p>
        </w:tc>
        <w:tc>
          <w:tcPr>
            <w:tcW w:type="dxa" w:w="3024"/>
          </w:tcPr>
          <w:p>
            <w:r>
              <w:rPr>
                <w:rFonts w:ascii="Times New Roman" w:hAnsi="Times New Roman"/>
                <w:sz w:val="20"/>
              </w:rPr>
              <w:t>Enge Abgrenzung zu erwarten</w:t>
            </w:r>
          </w:p>
        </w:tc>
      </w:tr>
      <w:tr>
        <w:tc>
          <w:tcPr>
            <w:tcW w:type="dxa" w:w="3024"/>
          </w:tcPr>
          <w:p>
            <w:r>
              <w:rPr>
                <w:rFonts w:ascii="Times New Roman" w:hAnsi="Times New Roman"/>
                <w:sz w:val="20"/>
              </w:rPr>
              <w:t>Räumliche Abgrenzung</w:t>
            </w:r>
          </w:p>
        </w:tc>
        <w:tc>
          <w:tcPr>
            <w:tcW w:type="dxa" w:w="3024"/>
          </w:tcPr>
          <w:p>
            <w:r>
              <w:rPr>
                <w:rFonts w:ascii="Times New Roman" w:hAnsi="Times New Roman"/>
                <w:sz w:val="20"/>
              </w:rPr>
              <w:t>Bekanntmachung Marktdefinition</w:t>
            </w:r>
          </w:p>
        </w:tc>
        <w:tc>
          <w:tcPr>
            <w:tcW w:type="dxa" w:w="3024"/>
          </w:tcPr>
          <w:p>
            <w:r>
              <w:rPr>
                <w:rFonts w:ascii="Times New Roman" w:hAnsi="Times New Roman"/>
                <w:sz w:val="20"/>
              </w:rPr>
              <w:t>National (DE, NL, BE separat)</w:t>
            </w:r>
          </w:p>
        </w:tc>
      </w:tr>
      <w:tr>
        <w:tc>
          <w:tcPr>
            <w:tcW w:type="dxa" w:w="3024"/>
          </w:tcPr>
          <w:p>
            <w:r>
              <w:rPr>
                <w:rFonts w:ascii="Times New Roman" w:hAnsi="Times New Roman"/>
                <w:sz w:val="20"/>
              </w:rPr>
              <w:t>Betroffene Märkte</w:t>
            </w:r>
          </w:p>
        </w:tc>
        <w:tc>
          <w:tcPr>
            <w:tcW w:type="dxa" w:w="3024"/>
          </w:tcPr>
          <w:p>
            <w:r>
              <w:rPr>
                <w:rFonts w:ascii="Times New Roman" w:hAnsi="Times New Roman"/>
                <w:sz w:val="20"/>
              </w:rPr>
              <w:t>Art. 2 Abs. 1 FKVO</w:t>
            </w:r>
          </w:p>
        </w:tc>
        <w:tc>
          <w:tcPr>
            <w:tcW w:type="dxa" w:w="3024"/>
          </w:tcPr>
          <w:p>
            <w:r>
              <w:rPr>
                <w:rFonts w:ascii="Times New Roman" w:hAnsi="Times New Roman"/>
                <w:sz w:val="20"/>
              </w:rPr>
              <w:t>Bahnbetonschwellen DE — stark betroffen</w:t>
            </w:r>
          </w:p>
        </w:tc>
      </w:tr>
      <w:tr>
        <w:tc>
          <w:tcPr>
            <w:tcW w:type="dxa" w:w="3024"/>
          </w:tcPr>
          <w:p>
            <w:r>
              <w:rPr>
                <w:rFonts w:ascii="Times New Roman" w:hAnsi="Times New Roman"/>
                <w:sz w:val="20"/>
              </w:rPr>
              <w:t>SIEC-Test</w:t>
            </w:r>
          </w:p>
        </w:tc>
        <w:tc>
          <w:tcPr>
            <w:tcW w:type="dxa" w:w="3024"/>
          </w:tcPr>
          <w:p>
            <w:r>
              <w:rPr>
                <w:rFonts w:ascii="Times New Roman" w:hAnsi="Times New Roman"/>
                <w:sz w:val="20"/>
              </w:rPr>
              <w:t>Art. 2 Abs. 3 FKVO</w:t>
            </w:r>
          </w:p>
        </w:tc>
        <w:tc>
          <w:tcPr>
            <w:tcW w:type="dxa" w:w="3024"/>
          </w:tcPr>
          <w:p>
            <w:r>
              <w:rPr>
                <w:rFonts w:ascii="Times New Roman" w:hAnsi="Times New Roman"/>
                <w:sz w:val="20"/>
              </w:rPr>
              <w:t>Erhebliche Bedenken</w:t>
            </w:r>
          </w:p>
        </w:tc>
      </w:tr>
      <w:tr>
        <w:tc>
          <w:tcPr>
            <w:tcW w:type="dxa" w:w="3024"/>
          </w:tcPr>
          <w:p>
            <w:r>
              <w:rPr>
                <w:rFonts w:ascii="Times New Roman" w:hAnsi="Times New Roman"/>
                <w:sz w:val="20"/>
              </w:rPr>
              <w:t>Remedies</w:t>
            </w:r>
          </w:p>
        </w:tc>
        <w:tc>
          <w:tcPr>
            <w:tcW w:type="dxa" w:w="3024"/>
          </w:tcPr>
          <w:p>
            <w:r>
              <w:rPr>
                <w:rFonts w:ascii="Times New Roman" w:hAnsi="Times New Roman"/>
                <w:sz w:val="20"/>
              </w:rPr>
              <w:t>Art. 6 Abs. 1 lit. b FKVO</w:t>
            </w:r>
          </w:p>
        </w:tc>
        <w:tc>
          <w:tcPr>
            <w:tcW w:type="dxa" w:w="3024"/>
          </w:tcPr>
          <w:p>
            <w:r>
              <w:rPr>
                <w:rFonts w:ascii="Times New Roman" w:hAnsi="Times New Roman"/>
                <w:sz w:val="20"/>
              </w:rPr>
              <w:t>Entscheidung Art. 6 Abs. 1 lit. c (Phase II)</w:t>
            </w:r>
          </w:p>
        </w:tc>
      </w:tr>
    </w:tbl>
    <w:p/>
    <w:p>
      <w:pPr>
        <w:pStyle w:val="Heading2"/>
      </w:pPr>
      <w:r>
        <w:rPr>
          <w:rFonts w:ascii="Times New Roman" w:hAnsi="Times New Roman"/>
        </w:rPr>
        <w:t>3. Marktbefragung — Dritte</w:t>
      </w:r>
    </w:p>
    <w:p>
      <w:pPr>
        <w:jc w:val="left"/>
      </w:pPr>
      <w:r>
        <w:t>Das BKartA und die Kommission werden Dritte befragen. Die Kanzlei hat folgende Befragungsgruppen identifiziert und deren voraussichtliche Positionen eingeschätzt:</w:t>
      </w:r>
    </w:p>
    <w:p>
      <w:pPr>
        <w:pStyle w:val="Heading3"/>
      </w:pPr>
      <w:r>
        <w:rPr>
          <w:rFonts w:ascii="Times New Roman" w:hAnsi="Times New Roman"/>
        </w:rPr>
        <w:t>3.1 Wettbewerber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Unternehmen</w:t>
            </w:r>
          </w:p>
        </w:tc>
        <w:tc>
          <w:tcPr>
            <w:tcW w:type="dxa" w:w="4536"/>
          </w:tcPr>
          <w:p>
            <w:r>
              <w:rPr>
                <w:rFonts w:ascii="Times New Roman" w:hAnsi="Times New Roman"/>
                <w:b/>
                <w:sz w:val="20"/>
              </w:rPr>
              <w:t>Erwartete Position</w:t>
            </w:r>
          </w:p>
        </w:tc>
      </w:tr>
      <w:tr>
        <w:tc>
          <w:tcPr>
            <w:tcW w:type="dxa" w:w="4536"/>
          </w:tcPr>
          <w:p>
            <w:r>
              <w:rPr>
                <w:rFonts w:ascii="Times New Roman" w:hAnsi="Times New Roman"/>
                <w:sz w:val="20"/>
              </w:rPr>
              <w:t>Rehme Bahnbau GmbH &amp; Co. KG</w:t>
            </w:r>
          </w:p>
        </w:tc>
        <w:tc>
          <w:tcPr>
            <w:tcW w:type="dxa" w:w="4536"/>
          </w:tcPr>
          <w:p>
            <w:r>
              <w:rPr>
                <w:rFonts w:ascii="Times New Roman" w:hAnsi="Times New Roman"/>
                <w:sz w:val="20"/>
              </w:rPr>
              <w:t>Kritisch — profitiert von starkem Konkurrenten GBW, aber Marktkonzentration schädigt auch Rehme</w:t>
            </w:r>
          </w:p>
        </w:tc>
      </w:tr>
      <w:tr>
        <w:tc>
          <w:tcPr>
            <w:tcW w:type="dxa" w:w="4536"/>
          </w:tcPr>
          <w:p>
            <w:r>
              <w:rPr>
                <w:rFonts w:ascii="Times New Roman" w:hAnsi="Times New Roman"/>
                <w:sz w:val="20"/>
              </w:rPr>
              <w:t>Schienenwerk Lausitz AG</w:t>
            </w:r>
          </w:p>
        </w:tc>
        <w:tc>
          <w:tcPr>
            <w:tcW w:type="dxa" w:w="4536"/>
          </w:tcPr>
          <w:p>
            <w:r>
              <w:rPr>
                <w:rFonts w:ascii="Times New Roman" w:hAnsi="Times New Roman"/>
                <w:sz w:val="20"/>
              </w:rPr>
              <w:t>Neutral bis leicht kritisch — sieht Chance für Marktanteilsgewinn</w:t>
            </w:r>
          </w:p>
        </w:tc>
      </w:tr>
      <w:tr>
        <w:tc>
          <w:tcPr>
            <w:tcW w:type="dxa" w:w="4536"/>
          </w:tcPr>
          <w:p>
            <w:r>
              <w:rPr>
                <w:rFonts w:ascii="Times New Roman" w:hAnsi="Times New Roman"/>
                <w:sz w:val="20"/>
              </w:rPr>
              <w:t>Holzbahn Produkte GmbH</w:t>
            </w:r>
          </w:p>
        </w:tc>
        <w:tc>
          <w:tcPr>
            <w:tcW w:type="dxa" w:w="4536"/>
          </w:tcPr>
          <w:p>
            <w:r>
              <w:rPr>
                <w:rFonts w:ascii="Times New Roman" w:hAnsi="Times New Roman"/>
                <w:sz w:val="20"/>
              </w:rPr>
              <w:t>Neutral — anderes Produktsegment</w:t>
            </w:r>
          </w:p>
        </w:tc>
      </w:tr>
    </w:tbl>
    <w:p>
      <w:pPr>
        <w:pStyle w:val="Heading3"/>
      </w:pPr>
      <w:r>
        <w:rPr>
          <w:rFonts w:ascii="Times New Roman" w:hAnsi="Times New Roman"/>
        </w:rPr>
        <w:t>3.2 Abnehmer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Unternehmen</w:t>
            </w:r>
          </w:p>
        </w:tc>
        <w:tc>
          <w:tcPr>
            <w:tcW w:type="dxa" w:w="4536"/>
          </w:tcPr>
          <w:p>
            <w:r>
              <w:rPr>
                <w:rFonts w:ascii="Times New Roman" w:hAnsi="Times New Roman"/>
                <w:b/>
                <w:sz w:val="20"/>
              </w:rPr>
              <w:t>Erwartete Position</w:t>
            </w:r>
          </w:p>
        </w:tc>
      </w:tr>
      <w:tr>
        <w:tc>
          <w:tcPr>
            <w:tcW w:type="dxa" w:w="4536"/>
          </w:tcPr>
          <w:p>
            <w:r>
              <w:rPr>
                <w:rFonts w:ascii="Times New Roman" w:hAnsi="Times New Roman"/>
                <w:sz w:val="20"/>
              </w:rPr>
              <w:t>Deutsche Bahn AG / DB InfraGO AG</w:t>
            </w:r>
          </w:p>
        </w:tc>
        <w:tc>
          <w:tcPr>
            <w:tcW w:type="dxa" w:w="4536"/>
          </w:tcPr>
          <w:p>
            <w:r>
              <w:rPr>
                <w:rFonts w:ascii="Times New Roman" w:hAnsi="Times New Roman"/>
                <w:sz w:val="20"/>
              </w:rPr>
              <w:t>Kritisch — Monopsonist fürchtet Preissteigerung durch reduzierten Wettbewerb</w:t>
            </w:r>
          </w:p>
        </w:tc>
      </w:tr>
      <w:tr>
        <w:tc>
          <w:tcPr>
            <w:tcW w:type="dxa" w:w="4536"/>
          </w:tcPr>
          <w:p>
            <w:r>
              <w:rPr>
                <w:rFonts w:ascii="Times New Roman" w:hAnsi="Times New Roman"/>
                <w:sz w:val="20"/>
              </w:rPr>
              <w:t>ProRail (NL)</w:t>
            </w:r>
          </w:p>
        </w:tc>
        <w:tc>
          <w:tcPr>
            <w:tcW w:type="dxa" w:w="4536"/>
          </w:tcPr>
          <w:p>
            <w:r>
              <w:rPr>
                <w:rFonts w:ascii="Times New Roman" w:hAnsi="Times New Roman"/>
                <w:sz w:val="20"/>
              </w:rPr>
              <w:t>Kritisch — GBW + TBA wären dominanter EWR-Lieferant</w:t>
            </w:r>
          </w:p>
        </w:tc>
      </w:tr>
      <w:tr>
        <w:tc>
          <w:tcPr>
            <w:tcW w:type="dxa" w:w="4536"/>
          </w:tcPr>
          <w:p>
            <w:r>
              <w:rPr>
                <w:rFonts w:ascii="Times New Roman" w:hAnsi="Times New Roman"/>
                <w:sz w:val="20"/>
              </w:rPr>
              <w:t>Infrabel (BE)</w:t>
            </w:r>
          </w:p>
        </w:tc>
        <w:tc>
          <w:tcPr>
            <w:tcW w:type="dxa" w:w="4536"/>
          </w:tcPr>
          <w:p>
            <w:r>
              <w:rPr>
                <w:rFonts w:ascii="Times New Roman" w:hAnsi="Times New Roman"/>
                <w:sz w:val="20"/>
              </w:rPr>
              <w:t>Abwartend</w:t>
            </w:r>
          </w:p>
        </w:tc>
      </w:tr>
    </w:tbl>
    <w:p>
      <w:pPr>
        <w:pStyle w:val="Heading3"/>
      </w:pPr>
      <w:r>
        <w:rPr>
          <w:rFonts w:ascii="Times New Roman" w:hAnsi="Times New Roman"/>
        </w:rPr>
        <w:t>3.3 DB InfraGO AG als Drittbeschwerder</w:t>
      </w:r>
    </w:p>
    <w:p>
      <w:pPr>
        <w:jc w:val="left"/>
      </w:pPr>
      <w:r>
        <w:t>Die DB AG hat über ihren Konzernrechtsdienst (Frankfurt) bereits Kontakt mit dem BKartA aufgenommen (s. Aktenstück 13). Die Position der DB AG wird als formal "Bitte um Prüfung der Wettbewerbsauswirkungen" kommuniziert — faktisch handelt es sich um eine verdeckte Drittbeschwerde.</w:t>
      </w:r>
    </w:p>
    <w:p/>
    <w:p>
      <w:pPr>
        <w:pStyle w:val="Heading2"/>
      </w:pPr>
      <w:r>
        <w:rPr>
          <w:rFonts w:ascii="Times New Roman" w:hAnsi="Times New Roman"/>
        </w:rPr>
        <w:t>4. Verteidigungsargumente für Phase I</w:t>
      </w:r>
    </w:p>
    <w:p>
      <w:pPr>
        <w:jc w:val="left"/>
      </w:pPr>
      <w:r>
        <w:t>Die Kanzlei bereitet folgende Verteidigungslinien vor, die bereits in Phase I kommuniziert werden: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Argument</w:t>
            </w:r>
          </w:p>
        </w:tc>
        <w:tc>
          <w:tcPr>
            <w:tcW w:type="dxa" w:w="3024"/>
          </w:tcPr>
          <w:p>
            <w:r>
              <w:rPr>
                <w:rFonts w:ascii="Times New Roman" w:hAnsi="Times New Roman"/>
                <w:b/>
                <w:sz w:val="20"/>
              </w:rPr>
              <w:t>Stärke</w:t>
            </w:r>
          </w:p>
        </w:tc>
        <w:tc>
          <w:tcPr>
            <w:tcW w:type="dxa" w:w="3024"/>
          </w:tcPr>
          <w:p>
            <w:r>
              <w:rPr>
                <w:rFonts w:ascii="Times New Roman" w:hAnsi="Times New Roman"/>
                <w:b/>
                <w:sz w:val="20"/>
              </w:rPr>
              <w:t>Aktivierung</w:t>
            </w:r>
          </w:p>
        </w:tc>
      </w:tr>
      <w:tr>
        <w:tc>
          <w:tcPr>
            <w:tcW w:type="dxa" w:w="3024"/>
          </w:tcPr>
          <w:p>
            <w:r>
              <w:rPr>
                <w:rFonts w:ascii="Times New Roman" w:hAnsi="Times New Roman"/>
                <w:sz w:val="20"/>
              </w:rPr>
              <w:t>Enge Marktabgrenzung überschätzt Anteil (Benelux-Importe)</w:t>
            </w:r>
          </w:p>
        </w:tc>
        <w:tc>
          <w:tcPr>
            <w:tcW w:type="dxa" w:w="3024"/>
          </w:tcPr>
          <w:p>
            <w:r>
              <w:rPr>
                <w:rFonts w:ascii="Times New Roman" w:hAnsi="Times New Roman"/>
                <w:sz w:val="20"/>
              </w:rPr>
              <w:t>Mittel</w:t>
            </w:r>
          </w:p>
        </w:tc>
        <w:tc>
          <w:tcPr>
            <w:tcW w:type="dxa" w:w="3024"/>
          </w:tcPr>
          <w:p>
            <w:r>
              <w:rPr>
                <w:rFonts w:ascii="Times New Roman" w:hAnsi="Times New Roman"/>
                <w:sz w:val="20"/>
              </w:rPr>
              <w:t>Frühzeitig</w:t>
            </w:r>
          </w:p>
        </w:tc>
      </w:tr>
      <w:tr>
        <w:tc>
          <w:tcPr>
            <w:tcW w:type="dxa" w:w="3024"/>
          </w:tcPr>
          <w:p>
            <w:r>
              <w:rPr>
                <w:rFonts w:ascii="Times New Roman" w:hAnsi="Times New Roman"/>
                <w:sz w:val="20"/>
              </w:rPr>
              <w:t>Countervailing Buyer Power DB InfraGO</w:t>
            </w:r>
          </w:p>
        </w:tc>
        <w:tc>
          <w:tcPr>
            <w:tcW w:type="dxa" w:w="3024"/>
          </w:tcPr>
          <w:p>
            <w:r>
              <w:rPr>
                <w:rFonts w:ascii="Times New Roman" w:hAnsi="Times New Roman"/>
                <w:sz w:val="20"/>
              </w:rPr>
              <w:t>Stark</w:t>
            </w:r>
          </w:p>
        </w:tc>
        <w:tc>
          <w:tcPr>
            <w:tcW w:type="dxa" w:w="3024"/>
          </w:tcPr>
          <w:p>
            <w:r>
              <w:rPr>
                <w:rFonts w:ascii="Times New Roman" w:hAnsi="Times New Roman"/>
                <w:sz w:val="20"/>
              </w:rPr>
              <w:t>Sofort</w:t>
            </w:r>
          </w:p>
        </w:tc>
      </w:tr>
      <w:tr>
        <w:tc>
          <w:tcPr>
            <w:tcW w:type="dxa" w:w="3024"/>
          </w:tcPr>
          <w:p>
            <w:r>
              <w:rPr>
                <w:rFonts w:ascii="Times New Roman" w:hAnsi="Times New Roman"/>
                <w:sz w:val="20"/>
              </w:rPr>
              <w:t>Potentieller Wettbewerb (EU-Zulassungsverfahren Lausitz, AT-Hersteller)</w:t>
            </w:r>
          </w:p>
        </w:tc>
        <w:tc>
          <w:tcPr>
            <w:tcW w:type="dxa" w:w="3024"/>
          </w:tcPr>
          <w:p>
            <w:r>
              <w:rPr>
                <w:rFonts w:ascii="Times New Roman" w:hAnsi="Times New Roman"/>
                <w:sz w:val="20"/>
              </w:rPr>
              <w:t>Mittel</w:t>
            </w:r>
          </w:p>
        </w:tc>
        <w:tc>
          <w:tcPr>
            <w:tcW w:type="dxa" w:w="3024"/>
          </w:tcPr>
          <w:p>
            <w:r>
              <w:rPr>
                <w:rFonts w:ascii="Times New Roman" w:hAnsi="Times New Roman"/>
                <w:sz w:val="20"/>
              </w:rPr>
              <w:t>Phase I</w:t>
            </w:r>
          </w:p>
        </w:tc>
      </w:tr>
      <w:tr>
        <w:tc>
          <w:tcPr>
            <w:tcW w:type="dxa" w:w="3024"/>
          </w:tcPr>
          <w:p>
            <w:r>
              <w:rPr>
                <w:rFonts w:ascii="Times New Roman" w:hAnsi="Times New Roman"/>
                <w:sz w:val="20"/>
              </w:rPr>
              <w:t>Efficiency Defense (Aktenstück 17)</w:t>
            </w:r>
          </w:p>
        </w:tc>
        <w:tc>
          <w:tcPr>
            <w:tcW w:type="dxa" w:w="3024"/>
          </w:tcPr>
          <w:p>
            <w:r>
              <w:rPr>
                <w:rFonts w:ascii="Times New Roman" w:hAnsi="Times New Roman"/>
                <w:sz w:val="20"/>
              </w:rPr>
              <w:t>Mittel</w:t>
            </w:r>
          </w:p>
        </w:tc>
        <w:tc>
          <w:tcPr>
            <w:tcW w:type="dxa" w:w="3024"/>
          </w:tcPr>
          <w:p>
            <w:r>
              <w:rPr>
                <w:rFonts w:ascii="Times New Roman" w:hAnsi="Times New Roman"/>
                <w:sz w:val="20"/>
              </w:rPr>
              <w:t>Phase I/II</w:t>
            </w:r>
          </w:p>
        </w:tc>
      </w:tr>
      <w:tr>
        <w:tc>
          <w:tcPr>
            <w:tcW w:type="dxa" w:w="3024"/>
          </w:tcPr>
          <w:p>
            <w:r>
              <w:rPr>
                <w:rFonts w:ascii="Times New Roman" w:hAnsi="Times New Roman"/>
                <w:sz w:val="20"/>
              </w:rPr>
              <w:t>Strukturelle Abhilfemaßnahme: Carve-out Bielefelder Werk</w:t>
            </w:r>
          </w:p>
        </w:tc>
        <w:tc>
          <w:tcPr>
            <w:tcW w:type="dxa" w:w="3024"/>
          </w:tcPr>
          <w:p>
            <w:r>
              <w:rPr>
                <w:rFonts w:ascii="Times New Roman" w:hAnsi="Times New Roman"/>
                <w:sz w:val="20"/>
              </w:rPr>
              <w:t>Stark</w:t>
            </w:r>
          </w:p>
        </w:tc>
        <w:tc>
          <w:tcPr>
            <w:tcW w:type="dxa" w:w="3024"/>
          </w:tcPr>
          <w:p>
            <w:r>
              <w:rPr>
                <w:rFonts w:ascii="Times New Roman" w:hAnsi="Times New Roman"/>
                <w:sz w:val="20"/>
              </w:rPr>
              <w:t>Angebot in Phase I</w:t>
            </w:r>
          </w:p>
        </w:tc>
      </w:tr>
      <w:tr>
        <w:tc>
          <w:tcPr>
            <w:tcW w:type="dxa" w:w="3024"/>
          </w:tcPr>
          <w:p>
            <w:r>
              <w:rPr>
                <w:rFonts w:ascii="Times New Roman" w:hAnsi="Times New Roman"/>
                <w:sz w:val="20"/>
              </w:rPr>
              <w:t>Failing Firm Defense TBA</w:t>
            </w:r>
          </w:p>
        </w:tc>
        <w:tc>
          <w:tcPr>
            <w:tcW w:type="dxa" w:w="3024"/>
          </w:tcPr>
          <w:p>
            <w:r>
              <w:rPr>
                <w:rFonts w:ascii="Times New Roman" w:hAnsi="Times New Roman"/>
                <w:sz w:val="20"/>
              </w:rPr>
              <w:t>Schwach bis mittel</w:t>
            </w:r>
          </w:p>
        </w:tc>
        <w:tc>
          <w:tcPr>
            <w:tcW w:type="dxa" w:w="3024"/>
          </w:tcPr>
          <w:p>
            <w:r>
              <w:rPr>
                <w:rFonts w:ascii="Times New Roman" w:hAnsi="Times New Roman"/>
                <w:sz w:val="20"/>
              </w:rPr>
              <w:t>Phase II</w:t>
            </w:r>
          </w:p>
        </w:tc>
      </w:tr>
    </w:tbl>
    <w:p/>
    <w:p>
      <w:pPr>
        <w:pStyle w:val="Heading2"/>
      </w:pPr>
      <w:r>
        <w:rPr>
          <w:rFonts w:ascii="Times New Roman" w:hAnsi="Times New Roman"/>
        </w:rPr>
        <w:t>5. Zeitachse Phase I</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16.03.2026</w:t>
            </w:r>
          </w:p>
        </w:tc>
        <w:tc>
          <w:tcPr>
            <w:tcW w:type="dxa" w:w="4536"/>
          </w:tcPr>
          <w:p>
            <w:r>
              <w:rPr>
                <w:rFonts w:ascii="Times New Roman" w:hAnsi="Times New Roman"/>
                <w:sz w:val="20"/>
              </w:rPr>
              <w:t>Einreichung Anmeldung BKartA</w:t>
            </w:r>
          </w:p>
        </w:tc>
      </w:tr>
      <w:tr>
        <w:tc>
          <w:tcPr>
            <w:tcW w:type="dxa" w:w="4536"/>
          </w:tcPr>
          <w:p>
            <w:r>
              <w:rPr>
                <w:rFonts w:ascii="Times New Roman" w:hAnsi="Times New Roman"/>
                <w:sz w:val="20"/>
              </w:rPr>
              <w:t>17.03.2026</w:t>
            </w:r>
          </w:p>
        </w:tc>
        <w:tc>
          <w:tcPr>
            <w:tcW w:type="dxa" w:w="4536"/>
          </w:tcPr>
          <w:p>
            <w:r>
              <w:rPr>
                <w:rFonts w:ascii="Times New Roman" w:hAnsi="Times New Roman"/>
                <w:sz w:val="20"/>
              </w:rPr>
              <w:t>Eingangsbestätigung BKartA</w:t>
            </w:r>
          </w:p>
        </w:tc>
      </w:tr>
      <w:tr>
        <w:tc>
          <w:tcPr>
            <w:tcW w:type="dxa" w:w="4536"/>
          </w:tcPr>
          <w:p>
            <w:r>
              <w:rPr>
                <w:rFonts w:ascii="Times New Roman" w:hAnsi="Times New Roman"/>
                <w:sz w:val="20"/>
              </w:rPr>
              <w:t>18.03.2026</w:t>
            </w:r>
          </w:p>
        </w:tc>
        <w:tc>
          <w:tcPr>
            <w:tcW w:type="dxa" w:w="4536"/>
          </w:tcPr>
          <w:p>
            <w:r>
              <w:rPr>
                <w:rFonts w:ascii="Times New Roman" w:hAnsi="Times New Roman"/>
                <w:sz w:val="20"/>
              </w:rPr>
              <w:t>Art.-22-Verweisung durch BKartA an Kommission</w:t>
            </w:r>
          </w:p>
        </w:tc>
      </w:tr>
      <w:tr>
        <w:tc>
          <w:tcPr>
            <w:tcW w:type="dxa" w:w="4536"/>
          </w:tcPr>
          <w:p>
            <w:r>
              <w:rPr>
                <w:rFonts w:ascii="Times New Roman" w:hAnsi="Times New Roman"/>
                <w:sz w:val="20"/>
              </w:rPr>
              <w:t>20.03.2026</w:t>
            </w:r>
          </w:p>
        </w:tc>
        <w:tc>
          <w:tcPr>
            <w:tcW w:type="dxa" w:w="4536"/>
          </w:tcPr>
          <w:p>
            <w:r>
              <w:rPr>
                <w:rFonts w:ascii="Times New Roman" w:hAnsi="Times New Roman"/>
                <w:sz w:val="20"/>
              </w:rPr>
              <w:t>Unterrichtung der Mitgliedstaaten durch Kommission</w:t>
            </w:r>
          </w:p>
        </w:tc>
      </w:tr>
      <w:tr>
        <w:tc>
          <w:tcPr>
            <w:tcW w:type="dxa" w:w="4536"/>
          </w:tcPr>
          <w:p>
            <w:r>
              <w:rPr>
                <w:rFonts w:ascii="Times New Roman" w:hAnsi="Times New Roman"/>
                <w:sz w:val="20"/>
              </w:rPr>
              <w:t>28.03.2026</w:t>
            </w:r>
          </w:p>
        </w:tc>
        <w:tc>
          <w:tcPr>
            <w:tcW w:type="dxa" w:w="4536"/>
          </w:tcPr>
          <w:p>
            <w:r>
              <w:rPr>
                <w:rFonts w:ascii="Times New Roman" w:hAnsi="Times New Roman"/>
                <w:sz w:val="20"/>
              </w:rPr>
              <w:t>Kommission übernimmt ausschließliche Zuständigkeit</w:t>
            </w:r>
          </w:p>
        </w:tc>
      </w:tr>
      <w:tr>
        <w:tc>
          <w:tcPr>
            <w:tcW w:type="dxa" w:w="4536"/>
          </w:tcPr>
          <w:p>
            <w:r>
              <w:rPr>
                <w:rFonts w:ascii="Times New Roman" w:hAnsi="Times New Roman"/>
                <w:sz w:val="20"/>
              </w:rPr>
              <w:t>01.04.2026</w:t>
            </w:r>
          </w:p>
        </w:tc>
        <w:tc>
          <w:tcPr>
            <w:tcW w:type="dxa" w:w="4536"/>
          </w:tcPr>
          <w:p>
            <w:r>
              <w:rPr>
                <w:rFonts w:ascii="Times New Roman" w:hAnsi="Times New Roman"/>
                <w:sz w:val="20"/>
              </w:rPr>
              <w:t>Start Phase I EU-Kommission (25 Arbeitstage)</w:t>
            </w:r>
          </w:p>
        </w:tc>
      </w:tr>
      <w:tr>
        <w:tc>
          <w:tcPr>
            <w:tcW w:type="dxa" w:w="4536"/>
          </w:tcPr>
          <w:p>
            <w:r>
              <w:rPr>
                <w:rFonts w:ascii="Times New Roman" w:hAnsi="Times New Roman"/>
                <w:sz w:val="20"/>
              </w:rPr>
              <w:t>05.05.2026</w:t>
            </w:r>
          </w:p>
        </w:tc>
        <w:tc>
          <w:tcPr>
            <w:tcW w:type="dxa" w:w="4536"/>
          </w:tcPr>
          <w:p>
            <w:r>
              <w:rPr>
                <w:rFonts w:ascii="Times New Roman" w:hAnsi="Times New Roman"/>
                <w:sz w:val="20"/>
              </w:rPr>
              <w:t>Ablauf Phase I (voraussichtlich)</w:t>
            </w:r>
          </w:p>
        </w:tc>
      </w:tr>
    </w:tbl>
    <w:p/>
    <w:p>
      <w:pPr>
        <w:pStyle w:val="Heading2"/>
      </w:pPr>
      <w:r>
        <w:rPr>
          <w:rFonts w:ascii="Times New Roman" w:hAnsi="Times New Roman"/>
        </w:rPr>
        <w:t>Quellen</w:t>
      </w:r>
    </w:p>
    <w:p>
      <w:pPr>
        <w:pStyle w:val="ListBullet"/>
      </w:pPr>
      <w:r>
        <w:t>§ 39 GWB, § 40 GWB: dejure.org/gesetze/GWB</w:t>
      </w:r>
    </w:p>
    <w:p>
      <w:pPr>
        <w:pStyle w:val="ListBullet"/>
      </w:pPr>
      <w:r>
        <w:t>Art. 6 FKVO 139/2004 (Phase-I-Entscheidung): EUR-Lex</w:t>
      </w:r>
    </w:p>
    <w:p>
      <w:pPr>
        <w:pStyle w:val="ListBullet"/>
      </w:pPr>
      <w:r>
        <w:t>Art. 22 FKVO 139/2004: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