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Phase-II-Hauptverfahren — Drohung, Verlauf und Strategie</w:t>
      </w:r>
    </w:p>
    <w:p>
      <w:pPr>
        <w:jc w:val="left"/>
      </w:pPr>
      <w:r>
        <w:t>Datum: 08. April 2026</w:t>
      </w:r>
    </w:p>
    <w:p>
      <w:pPr>
        <w:jc w:val="left"/>
      </w:pPr>
      <w:r>
        <w:t>Bearbeiter: Prof. Dr. Cornelius Friedrich Schwertbeck</w:t>
      </w:r>
    </w:p>
    <w:p>
      <w:pPr>
        <w:jc w:val="left"/>
      </w:pPr>
      <w:r>
        <w:t>Aktenzeichen: SW/2026/KA-0318 | EU COMP M.92188</w:t>
      </w:r>
    </w:p>
    <w:p/>
    <w:p>
      <w:pPr>
        <w:pStyle w:val="Heading2"/>
      </w:pPr>
      <w:r>
        <w:rPr>
          <w:rFonts w:ascii="Times New Roman" w:hAnsi="Times New Roman"/>
        </w:rPr>
        <w:t>1. Ankündigung Phase II</w:t>
      </w:r>
    </w:p>
    <w:p>
      <w:pPr>
        <w:jc w:val="left"/>
      </w:pPr>
      <w:r>
        <w:t>Die EU-Kommission hat mit Schreiben vom 05. Mai 2026 mitgeteilt, dass sie die Prüfung in ein förmliches Phase-II-Verfahren gemäß Art. 6 Abs. 1 lit. c FKVO 139/2004 überführt. Begründung im Ankündigungsschreiben (Zusammenfassung):</w:t>
      </w:r>
    </w:p>
    <w:p>
      <w:pPr>
        <w:ind w:left="567"/>
      </w:pPr>
      <w:r>
        <w:rPr>
          <w:i/>
        </w:rPr>
        <w:t>"The Commission considers that the transaction raises serious doubts as to its compatibility with the internal market, in particular due to the combined market share of approximately 57% in the national market for prestressed concrete railway sleepers in Germany and the significant increase in market concentration."</w:t>
      </w:r>
    </w:p>
    <w:p>
      <w:pPr>
        <w:jc w:val="left"/>
      </w:pPr>
      <w:r>
        <w:t>Damit beginnt die Phase-II-Frist von 90 Arbeitstagen (Art. 10 Abs. 3 FKVO), verlängerbar um 15 Arbeitstage auf Antrag der Anmeldenden. (EUR-Lex FKVO 139/2004)</w:t>
      </w:r>
    </w:p>
    <w:p/>
    <w:p>
      <w:pPr>
        <w:pStyle w:val="Heading2"/>
      </w:pPr>
      <w:r>
        <w:rPr>
          <w:rFonts w:ascii="Times New Roman" w:hAnsi="Times New Roman"/>
        </w:rPr>
        <w:t>2. Rechtsrahmen Phase II</w:t>
      </w:r>
    </w:p>
    <w:p>
      <w:pPr>
        <w:pStyle w:val="Heading3"/>
      </w:pPr>
      <w:r>
        <w:rPr>
          <w:rFonts w:ascii="Times New Roman" w:hAnsi="Times New Roman"/>
        </w:rPr>
        <w:t>2.1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Regelung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 (voraussichtlich)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Phase-II-Start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 Abs. 1 lit. c FKVO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Ablauf 90 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Abs. 3 FKVO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24.09.2026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Verlängerung +15 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Abs. 3 UA 2 FKVO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 Antrag bis ca. 15.10.2026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Angebot Abhilfemaßnahmen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Regelfall: 65. 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03.08.2026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Überarbeitung Abhilfemaßnahmen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75. 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17.08.2026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Verfahrensrechte der Beteiligten</w:t>
      </w:r>
    </w:p>
    <w:p>
      <w:pPr>
        <w:pStyle w:val="ListBullet"/>
      </w:pPr>
      <w:r>
        <w:t>Recht auf Akteneinsicht in nicht-vertrauliche Kommissionsakten (Art. 17 FKVO)</w:t>
      </w:r>
    </w:p>
    <w:p>
      <w:pPr>
        <w:pStyle w:val="ListBullet"/>
      </w:pPr>
      <w:r>
        <w:t>Recht auf Anhörung (Mündliche Anhörung, Art. 14 Fkvo i.V.m. VO 802/2004)</w:t>
      </w:r>
    </w:p>
    <w:p>
      <w:pPr>
        <w:pStyle w:val="ListBullet"/>
      </w:pPr>
      <w:r>
        <w:t>Recht auf Stellungnahme zu den Wettbewerbsbedenken ("Statement of Objections" — in FKVO nicht förmlich vorgeschrieben, aber Praxis: "Article 6(1)(c) decision" enthält bereits die Bedenken)</w:t>
      </w:r>
    </w:p>
    <w:p>
      <w:pPr>
        <w:pStyle w:val="ListBullet"/>
      </w:pPr>
      <w:r>
        <w:t>Recht auf Anhörung Dritter (Art. 18 Abs. 4 FKVO)</w:t>
      </w:r>
    </w:p>
    <w:p/>
    <w:p>
      <w:pPr>
        <w:pStyle w:val="Heading2"/>
      </w:pPr>
      <w:r>
        <w:rPr>
          <w:rFonts w:ascii="Times New Roman" w:hAnsi="Times New Roman"/>
        </w:rPr>
        <w:t>3. Mitteilung der Beschwerdepunkte ("Statement of Objections")</w:t>
      </w:r>
    </w:p>
    <w:p>
      <w:pPr>
        <w:jc w:val="left"/>
      </w:pPr>
      <w:r>
        <w:t>Die Kommission wird im Verlauf des Phase-II-Verfahrens ein Statement of Objections (SO) versenden (Praxis, Art. 18 FKVO). Das SO enthält die vollständigen Wettbewerbsbedenken. GBW hat das Recht, innerhalb einer gesetzten Frist (typisch: 2–4 Wochen) eine schriftliche Stellungnahme einzureichen und eine mündliche Anhörung zu beantragen.</w:t>
      </w:r>
    </w:p>
    <w:p>
      <w:pPr>
        <w:jc w:val="left"/>
      </w:pPr>
      <w:r>
        <w:t>Erwartete Beschwerdepunkte:</w:t>
      </w:r>
    </w:p>
    <w:p>
      <w:pPr>
        <w:pStyle w:val="ListNumber"/>
      </w:pPr>
      <w:r>
        <w:t>Unilaterale Effekte durch Post-Merger-Marktanteil 57 % (DE)</w:t>
      </w:r>
    </w:p>
    <w:p>
      <w:pPr>
        <w:pStyle w:val="ListNumber"/>
      </w:pPr>
      <w:r>
        <w:t>Koordinierte Effekte (GBW + Rehme Duopol)</w:t>
      </w:r>
    </w:p>
    <w:p>
      <w:pPr>
        <w:pStyle w:val="ListNumber"/>
      </w:pPr>
      <w:r>
        <w:t>Erhöhte Barrieren für Marktzutritt Dritter</w:t>
      </w:r>
    </w:p>
    <w:p>
      <w:pPr>
        <w:pStyle w:val="ListNumber"/>
      </w:pPr>
      <w:r>
        <w:t>Sonderstellung bei Weichenschwellen (bereits vorheriger Quasi-Monopol)</w:t>
      </w:r>
    </w:p>
    <w:p>
      <w:pPr>
        <w:pStyle w:val="ListNumber"/>
      </w:pPr>
      <w:r>
        <w:t>Sonderstellung bei Brückenschwellen</w:t>
      </w:r>
    </w:p>
    <w:p>
      <w:pPr>
        <w:pStyle w:val="ListNumber"/>
      </w:pPr>
      <w:r>
        <w:t>Grenzüberschreitende Auswirkungen auf Benelux-Märkte</w:t>
      </w:r>
    </w:p>
    <w:p/>
    <w:p>
      <w:pPr>
        <w:pStyle w:val="Heading2"/>
      </w:pPr>
      <w:r>
        <w:rPr>
          <w:rFonts w:ascii="Times New Roman" w:hAnsi="Times New Roman"/>
        </w:rPr>
        <w:t>4. Strategie im Phase-II-Verfahren</w:t>
      </w:r>
    </w:p>
    <w:p>
      <w:pPr>
        <w:pStyle w:val="Heading3"/>
      </w:pPr>
      <w:r>
        <w:rPr>
          <w:rFonts w:ascii="Times New Roman" w:hAnsi="Times New Roman"/>
        </w:rPr>
        <w:t>4.1 Hauptverteidigungslinie</w:t>
      </w:r>
    </w:p>
    <w:p>
      <w:pPr>
        <w:jc w:val="left"/>
      </w:pPr>
      <w:r>
        <w:t>Die Hauptverteidigungslinie bleibt die strukturelle Abhilfemaßnahme: Veräußerung des Bielefelder Werks von TBA an einen Drittwerber (Carve-out — Aktenstück 12). Dies ist die stärkste und am schnellsten realisierbare Maßnahme, um die Marktanteils-Bedenken zu adressieren.</w:t>
      </w:r>
    </w:p>
    <w:p>
      <w:pPr>
        <w:pStyle w:val="Heading3"/>
      </w:pPr>
      <w:r>
        <w:rPr>
          <w:rFonts w:ascii="Times New Roman" w:hAnsi="Times New Roman"/>
        </w:rPr>
        <w:t>4.2 Wirtschaftliche Gutachten</w:t>
      </w:r>
    </w:p>
    <w:p>
      <w:pPr>
        <w:jc w:val="left"/>
      </w:pPr>
      <w:r>
        <w:t>Die Kanzlei beauftragt zwei Gutachten:</w:t>
      </w:r>
    </w:p>
    <w:p>
      <w:pPr>
        <w:pStyle w:val="ListNumber"/>
      </w:pPr>
      <w:r>
        <w:rPr>
          <w:b/>
        </w:rPr>
        <w:t>Marktstruktur-Gutachten</w:t>
      </w:r>
      <w:r>
        <w:t xml:space="preserve"> (Professor Wirtschaftswissenschaften, Universität zu Köln): Berechnung der Preiswirkungen, Quantifizierung des Wettbewerbsdrucks durch DB InfraGO, Analyse der Transportkostenbarrieren.</w:t>
      </w:r>
    </w:p>
    <w:p>
      <w:pPr>
        <w:pStyle w:val="ListNumber"/>
      </w:pPr>
      <w:r>
        <w:rPr>
          <w:b/>
        </w:rPr>
        <w:t>Failing Firm-Gutachten</w:t>
      </w:r>
      <w:r>
        <w:t xml:space="preserve"> (Wirtschaftsprüfungsgesellschaft): Nachweis, dass TBA ohne Übernahme durch GBW innerhalb von 18–24 Monaten marktaustreten würde (Aktenstück 17).</w:t>
      </w:r>
    </w:p>
    <w:p>
      <w:pPr>
        <w:pStyle w:val="Heading3"/>
      </w:pPr>
      <w:r>
        <w:rPr>
          <w:rFonts w:ascii="Times New Roman" w:hAnsi="Times New Roman"/>
        </w:rPr>
        <w:t>4.3 Szenarioplanung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Freigabe mit strukturellen Auflagen (Carve-out Bielefeld)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Transaktion realisierbar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Phase-II-Freigabe ohne Auflagen (unwahrscheinlich)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 Lösung für Mandantin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Untersagung, anschließend Ministererlaubnis § 42 GWB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bei Verweis zurück an BKartA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Untersagung (EU-Komm.)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Scheitern der Transaktion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Rückzug SPA durch Mandantin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Wenn Auflagen wirtschaftlich unzumutbar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4.4 Ministererlaubnis § 42 GWB</w:t>
      </w:r>
    </w:p>
    <w:p>
      <w:pPr>
        <w:jc w:val="left"/>
      </w:pPr>
      <w:r>
        <w:t>Eine Ministererlaubnis gemäß § 42 GWB ist im EU-Verfahren nicht anwendbar (ausschließliche EU-Zuständigkeit). Sollte die Kommission die Zuständigkeit zurückverweisen (Art. 9 FKVO), wäre § 42 GWB theoretisch wieder erreichbar. Die Kanzlei rät von dieser Strategie ab: Der BMWi/BMWK hat Ministererlaubnisse seit 1974 in weniger als 15 Fällen erteilt; der politische Wille bei einem Bahnbeton-Zusammenschluss ist nicht absehbar.</w:t>
      </w:r>
    </w:p>
    <w:p/>
    <w:p>
      <w:pPr>
        <w:pStyle w:val="Heading2"/>
      </w:pPr>
      <w:r>
        <w:rPr>
          <w:rFonts w:ascii="Times New Roman" w:hAnsi="Times New Roman"/>
        </w:rPr>
        <w:t>5. Mündliche Anhörung</w:t>
      </w:r>
    </w:p>
    <w:p>
      <w:pPr>
        <w:jc w:val="left"/>
      </w:pPr>
      <w:r>
        <w:t>Die Kanzlei beantragt die mündliche Anhörung gemäß Art. 14 FKVO. Vortragsgliederung (geplant):</w:t>
      </w:r>
    </w:p>
    <w:p>
      <w:pPr>
        <w:pStyle w:val="ListNumber"/>
      </w:pPr>
      <w:r>
        <w:t>Marktabgrenzung (15 Minuten): Argumente für Hypothese B / C</w:t>
      </w:r>
    </w:p>
    <w:p>
      <w:pPr>
        <w:pStyle w:val="ListNumber"/>
      </w:pPr>
      <w:r>
        <w:t>Marktbeherrschung (20 Minuten): Countervailing Buyer Power, potentieller Wettbewerb</w:t>
      </w:r>
    </w:p>
    <w:p>
      <w:pPr>
        <w:pStyle w:val="ListNumber"/>
      </w:pPr>
      <w:r>
        <w:t>Abhilfemaßnahmen (20 Minuten): Carve-out Bielefeld, Verhaltensverpflichtungen</w:t>
      </w:r>
    </w:p>
    <w:p>
      <w:pPr>
        <w:pStyle w:val="ListNumber"/>
      </w:pPr>
      <w:r>
        <w:t>Effizienzverteidigung (10 Minuten): § 36 Abs. 1 GWB, Art. 2 Abs. 1 lit. b FKVO</w:t>
      </w:r>
    </w:p>
    <w:p>
      <w:pPr>
        <w:pStyle w:val="ListNumber"/>
      </w:pPr>
      <w:r>
        <w:t>Fragen (offen)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Art. 6, Art. 10, Art. 14, Art. 17, Art. 18 FKVO 139/2004: EUR-Lex</w:t>
      </w:r>
    </w:p>
    <w:p>
      <w:pPr>
        <w:pStyle w:val="ListBullet"/>
      </w:pPr>
      <w:r>
        <w:t>§ 42 GWB (Ministererlaubnis): dejure.org/gesetze/GWB/42.html</w:t>
      </w:r>
    </w:p>
    <w:p>
      <w:pPr>
        <w:pStyle w:val="ListBullet"/>
      </w:pPr>
      <w:r>
        <w:t>Durchführungsverordnung (EU) 2023/914: EUR-Lex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