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Bedingungen und Auflagen — Carve-out Bielefelder Werk</w:t>
      </w:r>
    </w:p>
    <w:p>
      <w:pPr>
        <w:jc w:val="left"/>
      </w:pPr>
      <w:r>
        <w:t>Datum: 12. April 2026</w:t>
      </w:r>
    </w:p>
    <w:p>
      <w:pPr>
        <w:jc w:val="left"/>
      </w:pPr>
      <w:r>
        <w:t>Bearbeiter: Prof. Dr. Cornelius Friedrich Schwertbeck, RAin Dr. Annette van Hove</w:t>
      </w:r>
    </w:p>
    <w:p>
      <w:pPr>
        <w:jc w:val="left"/>
      </w:pPr>
      <w:r>
        <w:t>Aktenzeichen: SW/2026/KA-0318 | EU COMP M.92188</w:t>
      </w:r>
    </w:p>
    <w:p/>
    <w:p>
      <w:pPr>
        <w:pStyle w:val="Heading2"/>
      </w:pPr>
      <w:r>
        <w:rPr>
          <w:rFonts w:ascii="Times New Roman" w:hAnsi="Times New Roman"/>
        </w:rPr>
        <w:t>1. Konzept der strukturellen Abhilfemaßnahme</w:t>
      </w:r>
    </w:p>
    <w:p>
      <w:pPr>
        <w:jc w:val="left"/>
      </w:pPr>
      <w:r>
        <w:t>Die zentrale Abhilfemaßnahme, die die Kanzlei im Auftrag der Mandantin GBW anbietet, ist die Veräußerung des Bielefelder Produktionswerks der Tannenheim Betonelemente AG (Detmolder Straße 840, 33699 Bielefeld) an einen von der Kommission / dem BKartA genehmigungspflichtigen Erwerber (Carve-out).</w:t>
      </w:r>
    </w:p>
    <w:p>
      <w:pPr>
        <w:jc w:val="left"/>
      </w:pPr>
      <w:r>
        <w:rPr>
          <w:b/>
        </w:rPr>
        <w:t>Zielsetzung:</w:t>
      </w:r>
      <w:r>
        <w:t xml:space="preserve"> Reduktion des Post-Merger-Marktanteils von ca. 57 % auf ca. 38 % (nur DE-Umsatz GBW ohne TBA-Werk Bielefeld).</w:t>
      </w:r>
    </w:p>
    <w:p>
      <w:pPr>
        <w:jc w:val="left"/>
      </w:pPr>
      <w:r>
        <w:rPr>
          <w:b/>
        </w:rPr>
        <w:t>Logik:</w:t>
      </w:r>
      <w:r>
        <w:t xml:space="preserve"> GBW übernimmt TBA-Kundenbeziehungen, Patente und Know-how; das physische Produktionswerk Bielefeld (Anlagevermögen, Maschinen, Mitarbeiter ca. 94 FTE) wird ausgegliedert und an einen Dritten veräußert. Der Erwerber tritt als neuer unabhängiger Wettbewerber in den Markt ein.</w:t>
      </w:r>
    </w:p>
    <w:p/>
    <w:p>
      <w:pPr>
        <w:pStyle w:val="Heading2"/>
      </w:pPr>
      <w:r>
        <w:rPr>
          <w:rFonts w:ascii="Times New Roman" w:hAnsi="Times New Roman"/>
        </w:rPr>
        <w:t>2. Wirtschaftliche Parameter des Carve-out</w:t>
      </w:r>
    </w:p>
    <w:p>
      <w:pPr>
        <w:pStyle w:val="Heading3"/>
      </w:pPr>
      <w:r>
        <w:rPr>
          <w:rFonts w:ascii="Times New Roman" w:hAnsi="Times New Roman"/>
        </w:rPr>
        <w:t>2.1 Produktionswerk Bielefeld — Eckdaten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Wert</w:t>
            </w:r>
          </w:p>
        </w:tc>
      </w:tr>
      <w:tr>
        <w:tc>
          <w:tcPr>
            <w:tcW w:type="dxa" w:w="4536"/>
          </w:tcPr>
          <w:p>
            <w:r>
              <w:rPr>
                <w:rFonts w:ascii="Times New Roman" w:hAnsi="Times New Roman"/>
                <w:sz w:val="20"/>
              </w:rPr>
              <w:t>Standort</w:t>
            </w:r>
          </w:p>
        </w:tc>
        <w:tc>
          <w:tcPr>
            <w:tcW w:type="dxa" w:w="4536"/>
          </w:tcPr>
          <w:p>
            <w:r>
              <w:rPr>
                <w:rFonts w:ascii="Times New Roman" w:hAnsi="Times New Roman"/>
                <w:sz w:val="20"/>
              </w:rPr>
              <w:t>Detmolder Straße 840, 33699 Bielefeld</w:t>
            </w:r>
          </w:p>
        </w:tc>
      </w:tr>
      <w:tr>
        <w:tc>
          <w:tcPr>
            <w:tcW w:type="dxa" w:w="4536"/>
          </w:tcPr>
          <w:p>
            <w:r>
              <w:rPr>
                <w:rFonts w:ascii="Times New Roman" w:hAnsi="Times New Roman"/>
                <w:sz w:val="20"/>
              </w:rPr>
              <w:t>Grundstücksfläche</w:t>
            </w:r>
          </w:p>
        </w:tc>
        <w:tc>
          <w:tcPr>
            <w:tcW w:type="dxa" w:w="4536"/>
          </w:tcPr>
          <w:p>
            <w:r>
              <w:rPr>
                <w:rFonts w:ascii="Times New Roman" w:hAnsi="Times New Roman"/>
                <w:sz w:val="20"/>
              </w:rPr>
              <w:t>ca. 42.000 m² (Eigentum TBA AG)</w:t>
            </w:r>
          </w:p>
        </w:tc>
      </w:tr>
      <w:tr>
        <w:tc>
          <w:tcPr>
            <w:tcW w:type="dxa" w:w="4536"/>
          </w:tcPr>
          <w:p>
            <w:r>
              <w:rPr>
                <w:rFonts w:ascii="Times New Roman" w:hAnsi="Times New Roman"/>
                <w:sz w:val="20"/>
              </w:rPr>
              <w:t>Hallen-Nutzfläche</w:t>
            </w:r>
          </w:p>
        </w:tc>
        <w:tc>
          <w:tcPr>
            <w:tcW w:type="dxa" w:w="4536"/>
          </w:tcPr>
          <w:p>
            <w:r>
              <w:rPr>
                <w:rFonts w:ascii="Times New Roman" w:hAnsi="Times New Roman"/>
                <w:sz w:val="20"/>
              </w:rPr>
              <w:t>ca. 18.500 m²</w:t>
            </w:r>
          </w:p>
        </w:tc>
      </w:tr>
      <w:tr>
        <w:tc>
          <w:tcPr>
            <w:tcW w:type="dxa" w:w="4536"/>
          </w:tcPr>
          <w:p>
            <w:r>
              <w:rPr>
                <w:rFonts w:ascii="Times New Roman" w:hAnsi="Times New Roman"/>
                <w:sz w:val="20"/>
              </w:rPr>
              <w:t>Mitarbeiter</w:t>
            </w:r>
          </w:p>
        </w:tc>
        <w:tc>
          <w:tcPr>
            <w:tcW w:type="dxa" w:w="4536"/>
          </w:tcPr>
          <w:p>
            <w:r>
              <w:rPr>
                <w:rFonts w:ascii="Times New Roman" w:hAnsi="Times New Roman"/>
                <w:sz w:val="20"/>
              </w:rPr>
              <w:t>94 (alle TBA-MA am Standort Bielefeld)</w:t>
            </w:r>
          </w:p>
        </w:tc>
      </w:tr>
      <w:tr>
        <w:tc>
          <w:tcPr>
            <w:tcW w:type="dxa" w:w="4536"/>
          </w:tcPr>
          <w:p>
            <w:r>
              <w:rPr>
                <w:rFonts w:ascii="Times New Roman" w:hAnsi="Times New Roman"/>
                <w:sz w:val="20"/>
              </w:rPr>
              <w:t>Jahreskapazität</w:t>
            </w:r>
          </w:p>
        </w:tc>
        <w:tc>
          <w:tcPr>
            <w:tcW w:type="dxa" w:w="4536"/>
          </w:tcPr>
          <w:p>
            <w:r>
              <w:rPr>
                <w:rFonts w:ascii="Times New Roman" w:hAnsi="Times New Roman"/>
                <w:sz w:val="20"/>
              </w:rPr>
              <w:t>ca. 960.000 Schwellen/Jahr</w:t>
            </w:r>
          </w:p>
        </w:tc>
      </w:tr>
      <w:tr>
        <w:tc>
          <w:tcPr>
            <w:tcW w:type="dxa" w:w="4536"/>
          </w:tcPr>
          <w:p>
            <w:r>
              <w:rPr>
                <w:rFonts w:ascii="Times New Roman" w:hAnsi="Times New Roman"/>
                <w:sz w:val="20"/>
              </w:rPr>
              <w:t>Jahresumsatz ex-works</w:t>
            </w:r>
          </w:p>
        </w:tc>
        <w:tc>
          <w:tcPr>
            <w:tcW w:type="dxa" w:w="4536"/>
          </w:tcPr>
          <w:p>
            <w:r>
              <w:rPr>
                <w:rFonts w:ascii="Times New Roman" w:hAnsi="Times New Roman"/>
                <w:sz w:val="20"/>
              </w:rPr>
              <w:t>ca. 32 Mio. EUR</w:t>
            </w:r>
          </w:p>
        </w:tc>
      </w:tr>
      <w:tr>
        <w:tc>
          <w:tcPr>
            <w:tcW w:type="dxa" w:w="4536"/>
          </w:tcPr>
          <w:p>
            <w:r>
              <w:rPr>
                <w:rFonts w:ascii="Times New Roman" w:hAnsi="Times New Roman"/>
                <w:sz w:val="20"/>
              </w:rPr>
              <w:t>Anlagewert (Buchwert)</w:t>
            </w:r>
          </w:p>
        </w:tc>
        <w:tc>
          <w:tcPr>
            <w:tcW w:type="dxa" w:w="4536"/>
          </w:tcPr>
          <w:p>
            <w:r>
              <w:rPr>
                <w:rFonts w:ascii="Times New Roman" w:hAnsi="Times New Roman"/>
                <w:sz w:val="20"/>
              </w:rPr>
              <w:t>ca. 14,2 Mio. EUR</w:t>
            </w:r>
          </w:p>
        </w:tc>
      </w:tr>
      <w:tr>
        <w:tc>
          <w:tcPr>
            <w:tcW w:type="dxa" w:w="4536"/>
          </w:tcPr>
          <w:p>
            <w:r>
              <w:rPr>
                <w:rFonts w:ascii="Times New Roman" w:hAnsi="Times New Roman"/>
                <w:sz w:val="20"/>
              </w:rPr>
              <w:t>Geschätzter Marktwert</w:t>
            </w:r>
          </w:p>
        </w:tc>
        <w:tc>
          <w:tcPr>
            <w:tcW w:type="dxa" w:w="4536"/>
          </w:tcPr>
          <w:p>
            <w:r>
              <w:rPr>
                <w:rFonts w:ascii="Times New Roman" w:hAnsi="Times New Roman"/>
                <w:sz w:val="20"/>
              </w:rPr>
              <w:t>ca. 22–28 Mio. EUR</w:t>
            </w:r>
          </w:p>
        </w:tc>
      </w:tr>
    </w:tbl>
    <w:p>
      <w:pPr>
        <w:pStyle w:val="Heading3"/>
      </w:pPr>
      <w:r>
        <w:rPr>
          <w:rFonts w:ascii="Times New Roman" w:hAnsi="Times New Roman"/>
        </w:rPr>
        <w:t>2.2 Übertragungspaket</w:t>
      </w:r>
    </w:p>
    <w:p>
      <w:pPr>
        <w:jc w:val="left"/>
      </w:pPr>
      <w:r>
        <w:t>Im Carve-out enthalten:</w:t>
      </w:r>
    </w:p>
    <w:p>
      <w:pPr>
        <w:pStyle w:val="ListBullet"/>
      </w:pPr>
      <w:r>
        <w:t>Grundstück und Gebäude Bielefeld</w:t>
      </w:r>
    </w:p>
    <w:p>
      <w:pPr>
        <w:pStyle w:val="ListBullet"/>
      </w:pPr>
      <w:r>
        <w:t>Presswerk, Bewehrungsanlage, Qualitätsprüf-Equipment</w:t>
      </w:r>
    </w:p>
    <w:p>
      <w:pPr>
        <w:pStyle w:val="ListBullet"/>
      </w:pPr>
      <w:r>
        <w:t>DB-Lieferantenzulassung (soweit übertragbar — Prüfung läuft)</w:t>
      </w:r>
    </w:p>
    <w:p>
      <w:pPr>
        <w:pStyle w:val="ListBullet"/>
      </w:pPr>
      <w:r>
        <w:t>Kundenkontakte Norddeutschland-Region (nicht-exklusiv)</w:t>
      </w:r>
    </w:p>
    <w:p>
      <w:pPr>
        <w:pStyle w:val="ListBullet"/>
      </w:pPr>
      <w:r>
        <w:t>Fertigungsrezepturen (nicht GBW-proprietär)</w:t>
      </w:r>
    </w:p>
    <w:p>
      <w:pPr>
        <w:pStyle w:val="ListBullet"/>
      </w:pPr>
      <w:r>
        <w:t>Alle Arbeitsverhältnisse der 94 Mitarbeitern (§ 613a BGB)</w:t>
      </w:r>
    </w:p>
    <w:p>
      <w:pPr>
        <w:jc w:val="left"/>
      </w:pPr>
      <w:r>
        <w:t>Nicht im Carve-out enthalten:</w:t>
      </w:r>
    </w:p>
    <w:p>
      <w:pPr>
        <w:pStyle w:val="ListBullet"/>
      </w:pPr>
      <w:r>
        <w:t>Patente GBW (bleiben bei GBW)</w:t>
      </w:r>
    </w:p>
    <w:p>
      <w:pPr>
        <w:pStyle w:val="ListBullet"/>
      </w:pPr>
      <w:r>
        <w:t>Brückenschwellen-Technologie TBA (wenn vorhanden — s. Prüfvorbehalt)</w:t>
      </w:r>
    </w:p>
    <w:p>
      <w:pPr>
        <w:pStyle w:val="ListBullet"/>
      </w:pPr>
      <w:r>
        <w:t>Niederlande/Belgien-Lieferbeziehungen TBA</w:t>
      </w:r>
    </w:p>
    <w:p/>
    <w:p>
      <w:pPr>
        <w:pStyle w:val="Heading2"/>
      </w:pPr>
      <w:r>
        <w:rPr>
          <w:rFonts w:ascii="Times New Roman" w:hAnsi="Times New Roman"/>
        </w:rPr>
        <w:t>3. Erwerber-Anforderungen</w:t>
      </w:r>
    </w:p>
    <w:p>
      <w:pPr>
        <w:jc w:val="left"/>
      </w:pPr>
      <w:r>
        <w:t>Die Kommission verlangt, dass der Erwerber des Bielefelder Werks:</w:t>
      </w:r>
    </w:p>
    <w:p>
      <w:pPr>
        <w:pStyle w:val="ListNumber"/>
      </w:pPr>
      <w:r>
        <w:t>Wirtschaftlich und finanziell in der Lage ist, den Geschäftsbetrieb auf eigene Rechnung fortzuführen</w:t>
      </w:r>
    </w:p>
    <w:p>
      <w:pPr>
        <w:pStyle w:val="ListNumber"/>
      </w:pPr>
      <w:r>
        <w:t>Unabhängig von GBW ist (keine Beteiligung, keine Vertragsbeziehungen, die seine Unabhängigkeit einschränken)</w:t>
      </w:r>
    </w:p>
    <w:p>
      <w:pPr>
        <w:pStyle w:val="ListNumber"/>
      </w:pPr>
      <w:r>
        <w:t>Über die notwendige industrielle Erfahrung oder glaubwürdige Expansionspläne verfügt</w:t>
      </w:r>
    </w:p>
    <w:p>
      <w:pPr>
        <w:pStyle w:val="ListNumber"/>
      </w:pPr>
      <w:r>
        <w:t>Durch die Kommission vorab genehmigt wird</w:t>
      </w:r>
    </w:p>
    <w:p>
      <w:pPr>
        <w:jc w:val="left"/>
      </w:pPr>
      <w:r>
        <w:rPr>
          <w:b/>
        </w:rPr>
        <w:t>Bevorzugte Erwerber (Kandidatenliste Kanzlei):</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Kandidat</w:t>
            </w:r>
          </w:p>
        </w:tc>
        <w:tc>
          <w:tcPr>
            <w:tcW w:type="dxa" w:w="2268"/>
          </w:tcPr>
          <w:p>
            <w:r>
              <w:rPr>
                <w:rFonts w:ascii="Times New Roman" w:hAnsi="Times New Roman"/>
                <w:b/>
                <w:sz w:val="20"/>
              </w:rPr>
              <w:t>Land</w:t>
            </w:r>
          </w:p>
        </w:tc>
        <w:tc>
          <w:tcPr>
            <w:tcW w:type="dxa" w:w="2268"/>
          </w:tcPr>
          <w:p>
            <w:r>
              <w:rPr>
                <w:rFonts w:ascii="Times New Roman" w:hAnsi="Times New Roman"/>
                <w:b/>
                <w:sz w:val="20"/>
              </w:rPr>
              <w:t>Beschreibung</w:t>
            </w:r>
          </w:p>
        </w:tc>
        <w:tc>
          <w:tcPr>
            <w:tcW w:type="dxa" w:w="2268"/>
          </w:tcPr>
          <w:p>
            <w:r>
              <w:rPr>
                <w:rFonts w:ascii="Times New Roman" w:hAnsi="Times New Roman"/>
                <w:b/>
                <w:sz w:val="20"/>
              </w:rPr>
              <w:t>Einschätzung</w:t>
            </w:r>
          </w:p>
        </w:tc>
      </w:tr>
      <w:tr>
        <w:tc>
          <w:tcPr>
            <w:tcW w:type="dxa" w:w="2268"/>
          </w:tcPr>
          <w:p>
            <w:r>
              <w:rPr>
                <w:rFonts w:ascii="Times New Roman" w:hAnsi="Times New Roman"/>
                <w:sz w:val="20"/>
              </w:rPr>
              <w:t>Rehme Bahnbau GmbH &amp; Co. KG</w:t>
            </w:r>
          </w:p>
        </w:tc>
        <w:tc>
          <w:tcPr>
            <w:tcW w:type="dxa" w:w="2268"/>
          </w:tcPr>
          <w:p>
            <w:r>
              <w:rPr>
                <w:rFonts w:ascii="Times New Roman" w:hAnsi="Times New Roman"/>
                <w:sz w:val="20"/>
              </w:rPr>
              <w:t>DE (Dortmund)</w:t>
            </w:r>
          </w:p>
        </w:tc>
        <w:tc>
          <w:tcPr>
            <w:tcW w:type="dxa" w:w="2268"/>
          </w:tcPr>
          <w:p>
            <w:r>
              <w:rPr>
                <w:rFonts w:ascii="Times New Roman" w:hAnsi="Times New Roman"/>
                <w:sz w:val="20"/>
              </w:rPr>
              <w:t>Drittgrößter DE-Anbieter</w:t>
            </w:r>
          </w:p>
        </w:tc>
        <w:tc>
          <w:tcPr>
            <w:tcW w:type="dxa" w:w="2268"/>
          </w:tcPr>
          <w:p>
            <w:r>
              <w:rPr>
                <w:rFonts w:ascii="Times New Roman" w:hAnsi="Times New Roman"/>
                <w:sz w:val="20"/>
              </w:rPr>
              <w:t>Eingeschränkt — Konzentration weiter erhöht</w:t>
            </w:r>
          </w:p>
        </w:tc>
      </w:tr>
      <w:tr>
        <w:tc>
          <w:tcPr>
            <w:tcW w:type="dxa" w:w="2268"/>
          </w:tcPr>
          <w:p>
            <w:r>
              <w:rPr>
                <w:rFonts w:ascii="Times New Roman" w:hAnsi="Times New Roman"/>
                <w:sz w:val="20"/>
              </w:rPr>
              <w:t>Österreichischer Hersteller X</w:t>
            </w:r>
          </w:p>
        </w:tc>
        <w:tc>
          <w:tcPr>
            <w:tcW w:type="dxa" w:w="2268"/>
          </w:tcPr>
          <w:p>
            <w:r>
              <w:rPr>
                <w:rFonts w:ascii="Times New Roman" w:hAnsi="Times New Roman"/>
                <w:sz w:val="20"/>
              </w:rPr>
              <w:t>AT</w:t>
            </w:r>
          </w:p>
        </w:tc>
        <w:tc>
          <w:tcPr>
            <w:tcW w:type="dxa" w:w="2268"/>
          </w:tcPr>
          <w:p>
            <w:r>
              <w:rPr>
                <w:rFonts w:ascii="Times New Roman" w:hAnsi="Times New Roman"/>
                <w:sz w:val="20"/>
              </w:rPr>
              <w:t>Marktanteil AT 35 %</w:t>
            </w:r>
          </w:p>
        </w:tc>
        <w:tc>
          <w:tcPr>
            <w:tcW w:type="dxa" w:w="2268"/>
          </w:tcPr>
          <w:p>
            <w:r>
              <w:rPr>
                <w:rFonts w:ascii="Times New Roman" w:hAnsi="Times New Roman"/>
                <w:sz w:val="20"/>
              </w:rPr>
              <w:t>Geeignet — echter Newcomer für DE</w:t>
            </w:r>
          </w:p>
        </w:tc>
      </w:tr>
      <w:tr>
        <w:tc>
          <w:tcPr>
            <w:tcW w:type="dxa" w:w="2268"/>
          </w:tcPr>
          <w:p>
            <w:r>
              <w:rPr>
                <w:rFonts w:ascii="Times New Roman" w:hAnsi="Times New Roman"/>
                <w:sz w:val="20"/>
              </w:rPr>
              <w:t>Industrie-PE-Fonds</w:t>
            </w:r>
          </w:p>
        </w:tc>
        <w:tc>
          <w:tcPr>
            <w:tcW w:type="dxa" w:w="2268"/>
          </w:tcPr>
          <w:p>
            <w:r>
              <w:rPr>
                <w:rFonts w:ascii="Times New Roman" w:hAnsi="Times New Roman"/>
                <w:sz w:val="20"/>
              </w:rPr>
              <w:t>EU</w:t>
            </w:r>
          </w:p>
        </w:tc>
        <w:tc>
          <w:tcPr>
            <w:tcW w:type="dxa" w:w="2268"/>
          </w:tcPr>
          <w:p>
            <w:r>
              <w:rPr>
                <w:rFonts w:ascii="Times New Roman" w:hAnsi="Times New Roman"/>
                <w:sz w:val="20"/>
              </w:rPr>
              <w:t>Finanzkauf, Betriebsführung durch Management</w:t>
            </w:r>
          </w:p>
        </w:tc>
        <w:tc>
          <w:tcPr>
            <w:tcW w:type="dxa" w:w="2268"/>
          </w:tcPr>
          <w:p>
            <w:r>
              <w:rPr>
                <w:rFonts w:ascii="Times New Roman" w:hAnsi="Times New Roman"/>
                <w:sz w:val="20"/>
              </w:rPr>
              <w:t>Eingeschränkt — Kommission bevorzugt strategischen Käufer</w:t>
            </w:r>
          </w:p>
        </w:tc>
      </w:tr>
      <w:tr>
        <w:tc>
          <w:tcPr>
            <w:tcW w:type="dxa" w:w="2268"/>
          </w:tcPr>
          <w:p>
            <w:r>
              <w:rPr>
                <w:rFonts w:ascii="Times New Roman" w:hAnsi="Times New Roman"/>
                <w:sz w:val="20"/>
              </w:rPr>
              <w:t>DB InfraGO AG (Eigenproduktion)</w:t>
            </w:r>
          </w:p>
        </w:tc>
        <w:tc>
          <w:tcPr>
            <w:tcW w:type="dxa" w:w="2268"/>
          </w:tcPr>
          <w:p>
            <w:r>
              <w:rPr>
                <w:rFonts w:ascii="Times New Roman" w:hAnsi="Times New Roman"/>
                <w:sz w:val="20"/>
              </w:rPr>
              <w:t>DE</w:t>
            </w:r>
          </w:p>
        </w:tc>
        <w:tc>
          <w:tcPr>
            <w:tcW w:type="dxa" w:w="2268"/>
          </w:tcPr>
          <w:p>
            <w:r>
              <w:rPr>
                <w:rFonts w:ascii="Times New Roman" w:hAnsi="Times New Roman"/>
                <w:sz w:val="20"/>
              </w:rPr>
              <w:t>Vertikale Integration</w:t>
            </w:r>
          </w:p>
        </w:tc>
        <w:tc>
          <w:tcPr>
            <w:tcW w:type="dxa" w:w="2268"/>
          </w:tcPr>
          <w:p>
            <w:r>
              <w:rPr>
                <w:rFonts w:ascii="Times New Roman" w:hAnsi="Times New Roman"/>
                <w:sz w:val="20"/>
              </w:rPr>
              <w:t>Unwahrscheinlich — politisch sensibel</w:t>
            </w:r>
          </w:p>
        </w:tc>
      </w:tr>
    </w:tbl>
    <w:p>
      <w:pPr>
        <w:jc w:val="left"/>
      </w:pPr>
      <w:r>
        <w:t>Die Kanzlei empfiehlt, frühzeitig einen österreichischen oder tschechischen Strategieerwerber zu identifizieren, der echten Wettbewerb als Newcomer auf dem deutschen Markt entfalten kann.</w:t>
      </w:r>
    </w:p>
    <w:p/>
    <w:p>
      <w:pPr>
        <w:pStyle w:val="Heading2"/>
      </w:pPr>
      <w:r>
        <w:rPr>
          <w:rFonts w:ascii="Times New Roman" w:hAnsi="Times New Roman"/>
        </w:rPr>
        <w:t>4. Verfahren zur Genehmigung des Erwerbers</w:t>
      </w:r>
    </w:p>
    <w:p>
      <w:pPr>
        <w:jc w:val="left"/>
      </w:pPr>
      <w:r>
        <w:t>Die Abhilfemaßnahme wird als Verpflichtungszusage gemäß Art. 6 Abs. 2 oder Art. 8 Abs. 2 FKVO 139/2004 eingereicht. Die Kommission prüft, ob die Zusage geeignet ist, die festgestellten Wettbewerbsbedenken vollständig auszuräumen. (EUR-Lex FKVO)</w:t>
      </w:r>
    </w:p>
    <w:p>
      <w:pPr>
        <w:jc w:val="left"/>
      </w:pPr>
      <w:r>
        <w:t>Zeitplan für die Remedies: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Schritt</w:t>
            </w:r>
          </w:p>
        </w:tc>
        <w:tc>
          <w:tcPr>
            <w:tcW w:type="dxa" w:w="4536"/>
          </w:tcPr>
          <w:p>
            <w:r>
              <w:rPr>
                <w:rFonts w:ascii="Times New Roman" w:hAnsi="Times New Roman"/>
                <w:b/>
                <w:sz w:val="20"/>
              </w:rPr>
              <w:t>Datum</w:t>
            </w:r>
          </w:p>
        </w:tc>
      </w:tr>
      <w:tr>
        <w:tc>
          <w:tcPr>
            <w:tcW w:type="dxa" w:w="4536"/>
          </w:tcPr>
          <w:p>
            <w:r>
              <w:rPr>
                <w:rFonts w:ascii="Times New Roman" w:hAnsi="Times New Roman"/>
                <w:sz w:val="20"/>
              </w:rPr>
              <w:t>Einreichung Verpflichtungsangebot (65. AT Phase II)</w:t>
            </w:r>
          </w:p>
        </w:tc>
        <w:tc>
          <w:tcPr>
            <w:tcW w:type="dxa" w:w="4536"/>
          </w:tcPr>
          <w:p>
            <w:r>
              <w:rPr>
                <w:rFonts w:ascii="Times New Roman" w:hAnsi="Times New Roman"/>
                <w:sz w:val="20"/>
              </w:rPr>
              <w:t>ca. 03.08.2026</w:t>
            </w:r>
          </w:p>
        </w:tc>
      </w:tr>
      <w:tr>
        <w:tc>
          <w:tcPr>
            <w:tcW w:type="dxa" w:w="4536"/>
          </w:tcPr>
          <w:p>
            <w:r>
              <w:rPr>
                <w:rFonts w:ascii="Times New Roman" w:hAnsi="Times New Roman"/>
                <w:sz w:val="20"/>
              </w:rPr>
              <w:t>Markttest der Verpflichtungen durch Kommission</w:t>
            </w:r>
          </w:p>
        </w:tc>
        <w:tc>
          <w:tcPr>
            <w:tcW w:type="dxa" w:w="4536"/>
          </w:tcPr>
          <w:p>
            <w:r>
              <w:rPr>
                <w:rFonts w:ascii="Times New Roman" w:hAnsi="Times New Roman"/>
                <w:sz w:val="20"/>
              </w:rPr>
              <w:t>ca. 10.–24.08.2026</w:t>
            </w:r>
          </w:p>
        </w:tc>
      </w:tr>
      <w:tr>
        <w:tc>
          <w:tcPr>
            <w:tcW w:type="dxa" w:w="4536"/>
          </w:tcPr>
          <w:p>
            <w:r>
              <w:rPr>
                <w:rFonts w:ascii="Times New Roman" w:hAnsi="Times New Roman"/>
                <w:sz w:val="20"/>
              </w:rPr>
              <w:t>Anpassung Verpflichtungsangebot (75. AT)</w:t>
            </w:r>
          </w:p>
        </w:tc>
        <w:tc>
          <w:tcPr>
            <w:tcW w:type="dxa" w:w="4536"/>
          </w:tcPr>
          <w:p>
            <w:r>
              <w:rPr>
                <w:rFonts w:ascii="Times New Roman" w:hAnsi="Times New Roman"/>
                <w:sz w:val="20"/>
              </w:rPr>
              <w:t>ca. 17.08.2026</w:t>
            </w:r>
          </w:p>
        </w:tc>
      </w:tr>
      <w:tr>
        <w:tc>
          <w:tcPr>
            <w:tcW w:type="dxa" w:w="4536"/>
          </w:tcPr>
          <w:p>
            <w:r>
              <w:rPr>
                <w:rFonts w:ascii="Times New Roman" w:hAnsi="Times New Roman"/>
                <w:sz w:val="20"/>
              </w:rPr>
              <w:t>Einbeziehung Monitoring Trustee</w:t>
            </w:r>
          </w:p>
        </w:tc>
        <w:tc>
          <w:tcPr>
            <w:tcW w:type="dxa" w:w="4536"/>
          </w:tcPr>
          <w:p>
            <w:r>
              <w:rPr>
                <w:rFonts w:ascii="Times New Roman" w:hAnsi="Times New Roman"/>
                <w:sz w:val="20"/>
              </w:rPr>
              <w:t>ab Freigabe</w:t>
            </w:r>
          </w:p>
        </w:tc>
      </w:tr>
      <w:tr>
        <w:tc>
          <w:tcPr>
            <w:tcW w:type="dxa" w:w="4536"/>
          </w:tcPr>
          <w:p>
            <w:r>
              <w:rPr>
                <w:rFonts w:ascii="Times New Roman" w:hAnsi="Times New Roman"/>
                <w:sz w:val="20"/>
              </w:rPr>
              <w:t>Vollzug Veräußerung</w:t>
            </w:r>
          </w:p>
        </w:tc>
        <w:tc>
          <w:tcPr>
            <w:tcW w:type="dxa" w:w="4536"/>
          </w:tcPr>
          <w:p>
            <w:r>
              <w:rPr>
                <w:rFonts w:ascii="Times New Roman" w:hAnsi="Times New Roman"/>
                <w:sz w:val="20"/>
              </w:rPr>
              <w:t>bis 12 Monate nach Freigabe (Regelzeitraum)</w:t>
            </w:r>
          </w:p>
        </w:tc>
      </w:tr>
    </w:tbl>
    <w:p/>
    <w:p>
      <w:pPr>
        <w:pStyle w:val="Heading2"/>
      </w:pPr>
      <w:r>
        <w:rPr>
          <w:rFonts w:ascii="Times New Roman" w:hAnsi="Times New Roman"/>
        </w:rPr>
        <w:t>5. Verhaltensbezogene Auflagen (ergänzend)</w:t>
      </w:r>
    </w:p>
    <w:p>
      <w:pPr>
        <w:jc w:val="left"/>
      </w:pPr>
      <w:r>
        <w:t>Neben dem strukturellen Carve-out erwägt die Kanzlei ergänzend verhaltensbezogene Auflagen:</w:t>
      </w:r>
    </w:p>
    <w:p>
      <w:pPr>
        <w:pStyle w:val="ListBullet"/>
      </w:pPr>
      <w:r>
        <w:rPr>
          <w:b/>
        </w:rPr>
        <w:t>Liefer- und Belieferungsgarantie:</w:t>
      </w:r>
      <w:r>
        <w:t xml:space="preserve"> GBW verpflichtet sich, den Erwerber für 24 Monate nach Closing als Subkontrahenten bei bestehenden TBA-Rahmenverträgen einzusetzen (Übergangssicherung).</w:t>
      </w:r>
    </w:p>
    <w:p>
      <w:pPr>
        <w:pStyle w:val="ListBullet"/>
      </w:pPr>
      <w:r>
        <w:rPr>
          <w:b/>
        </w:rPr>
        <w:t>DB-Zulassungsübertragung:</w:t>
      </w:r>
      <w:r>
        <w:t xml:space="preserve"> GBW unterstützt den Erwerber aktiv bei der Beantragung der DB-Lieferantenzulassung für das Bielefelder Werk.</w:t>
      </w:r>
    </w:p>
    <w:p>
      <w:pPr>
        <w:pStyle w:val="ListBullet"/>
      </w:pPr>
      <w:r>
        <w:rPr>
          <w:b/>
        </w:rPr>
        <w:t>Wettbewerbsverbot:</w:t>
      </w:r>
      <w:r>
        <w:t xml:space="preserve"> GBW verpflichtet sich, in der Region Nordrhein-Westfalen für 5 Jahre keine zusätzliche Kapazität aufzubauen (soweit zulässig nach EU-Kartellrecht).</w:t>
      </w:r>
    </w:p>
    <w:p>
      <w:pPr>
        <w:jc w:val="left"/>
      </w:pPr>
      <w:r>
        <w:t>Hinweis: Verhaltensbezogene Auflagen werden von der Kommission grundsätzlich als weniger wirksam und schwerer durchsetzbar bewertet als strukturelle Maßnahmen (Bekanntmachung der Kommission über Abhilfemaßnahmen, ABl. C 267/1 vom 22.10.2008, Rn. 15). (EUR-Lex) Sie sollten als ergänzende Elemente eingesetzt werden.</w:t>
      </w:r>
    </w:p>
    <w:p/>
    <w:p>
      <w:pPr>
        <w:pStyle w:val="Heading2"/>
      </w:pPr>
      <w:r>
        <w:rPr>
          <w:rFonts w:ascii="Times New Roman" w:hAnsi="Times New Roman"/>
        </w:rPr>
        <w:t>6. § 613a BGB — Arbeitnehmerrechte beim Carve-out</w:t>
      </w:r>
    </w:p>
    <w:p>
      <w:pPr>
        <w:jc w:val="left"/>
      </w:pPr>
      <w:r>
        <w:t>Der Carve-out Bielefeld führt zu einem Betriebsübergang nach § 613a BGB. Die 94 Mitarbeitern am Bielefelder Werk gehen automatisch auf den Erwerber über; ein Widerspruchsrecht besteht. Der Betriebsrat der TBA AG ist gemäß § 613a Abs. 5 BGB mindestens einen Monat vor dem geplanten Übergang zu unterrichten. Die Kanzlei empfiehlt frühzeitige Einbindung des TBA-Betriebsrats zur Vermeidung arbeitsrechtlicher Komplikationen.</w:t>
      </w:r>
    </w:p>
    <w:p/>
    <w:p>
      <w:pPr>
        <w:pStyle w:val="Heading2"/>
      </w:pPr>
      <w:r>
        <w:rPr>
          <w:rFonts w:ascii="Times New Roman" w:hAnsi="Times New Roman"/>
        </w:rPr>
        <w:t>Quellen</w:t>
      </w:r>
    </w:p>
    <w:p>
      <w:pPr>
        <w:pStyle w:val="ListBullet"/>
      </w:pPr>
      <w:r>
        <w:t>Art. 6 Abs. 2, Art. 8 Abs. 2 FKVO 139/2004: EUR-Lex</w:t>
      </w:r>
    </w:p>
    <w:p>
      <w:pPr>
        <w:pStyle w:val="ListBullet"/>
      </w:pPr>
      <w:r>
        <w:t>Bekanntmachung Kommission über Abhilfemaßnahmen (ABl. C 267/1, 22.10.2008): EUR-Lex</w:t>
      </w:r>
    </w:p>
    <w:p>
      <w:pPr>
        <w:pStyle w:val="ListBullet"/>
      </w:pPr>
      <w:r>
        <w:t>§ 613a BGB: dejure.org/gesetze/BGB/613a.html</w:t>
      </w:r>
    </w:p>
    <w:p>
      <w:pPr>
        <w:pStyle w:val="ListBullet"/>
      </w:pPr>
      <w:r>
        <w:t>§ 36 GWB (SIEC-Test, Bedingungen und Auflagen): dejure.org/gesetze/GWB/36.html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