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Kronzeugenregelung § 81e GWB — Strategie und Entscheidungsnotiz</w:t>
      </w:r>
    </w:p>
    <w:p>
      <w:pPr>
        <w:jc w:val="left"/>
      </w:pPr>
      <w:r>
        <w:t>Datum: 22. April 2026</w:t>
      </w:r>
    </w:p>
    <w:p>
      <w:pPr>
        <w:jc w:val="left"/>
      </w:pPr>
      <w:r>
        <w:t>Bearbeiter: Prof. Dr. Cornelius Friedrich Schwertbeck</w:t>
      </w:r>
    </w:p>
    <w:p>
      <w:pPr>
        <w:jc w:val="left"/>
      </w:pPr>
      <w:r>
        <w:t>Vertraulich — Anwalt-Mandant-Privileg</w:t>
      </w:r>
    </w:p>
    <w:p>
      <w:pPr>
        <w:jc w:val="left"/>
      </w:pPr>
      <w:r>
        <w:t>Aktenzeichen: SW/2026/KA-0319 | BKartA B6-56/22</w:t>
      </w:r>
    </w:p>
    <w:p/>
    <w:p>
      <w:pPr>
        <w:pStyle w:val="Heading2"/>
      </w:pPr>
      <w:r>
        <w:rPr>
          <w:rFonts w:ascii="Times New Roman" w:hAnsi="Times New Roman"/>
        </w:rPr>
        <w:t>1. Ausgangslage und Entscheidungsanlass</w:t>
      </w:r>
    </w:p>
    <w:p>
      <w:pPr>
        <w:jc w:val="left"/>
      </w:pPr>
      <w:r>
        <w:t>Frau RAin Niebuhr-Völkel hat am 18. April 2026 mitgeteilt, dass ein ehemaliger TBA-Vertriebsleiter (Name intern bekannt, hier anonymisiert als "Zeuge A") dem BKartA gegenüber umfangreiche Aussagen zu angeblichen Preisabstimmungstreffen gemacht haben soll. Dies erfuhr die Kanzlei durch einen informellen Hinweis eines befreundeten Anwaltskollegen, der im Rehme-Verfahren mandatiert ist. Der Hinweis ist nicht verifiziert, wird aber als plausibel eingestuft.</w:t>
      </w:r>
    </w:p>
    <w:p>
      <w:pPr>
        <w:jc w:val="left"/>
      </w:pPr>
      <w:r>
        <w:t>Falls "Zeuge A" tatsächlich umfangreiche Angaben gemacht hat, besteht für GBW das Risiko, dass Rehme als erstes Unternehmen einen Kronzeugenantrag stellt — dies würde GBW als zweitem Antragsteller nur noch einen eingeschränkten Rabatt verschaffen (§ 81e Abs. 2 GWB).</w:t>
      </w:r>
    </w:p>
    <w:p>
      <w:pPr>
        <w:jc w:val="left"/>
      </w:pPr>
      <w:r>
        <w:rPr>
          <w:b/>
        </w:rPr>
        <w:t>Entscheidungsnotiz:</w:t>
      </w:r>
      <w:r>
        <w:t xml:space="preserve"> Die Mandantin muss innerhalb von 48 Stunden entscheiden, ob ein Kronzeugenantrag gestellt wird.</w:t>
      </w:r>
    </w:p>
    <w:p/>
    <w:p>
      <w:pPr>
        <w:pStyle w:val="Heading2"/>
      </w:pPr>
      <w:r>
        <w:rPr>
          <w:rFonts w:ascii="Times New Roman" w:hAnsi="Times New Roman"/>
        </w:rPr>
        <w:t>2. Rechtsgrundlagen § 81e GWB</w:t>
      </w:r>
    </w:p>
    <w:p>
      <w:pPr>
        <w:jc w:val="left"/>
      </w:pPr>
      <w:r>
        <w:t>§ 81e GWB (eingefügt durch die 10. GWB-Novelle 2021, setzt ECN+-Richtlinie 2019/1 um) regelt:</w:t>
      </w:r>
    </w:p>
    <w:p>
      <w:pPr>
        <w:pStyle w:val="ListBullet"/>
      </w:pPr>
      <w:r>
        <w:rPr>
          <w:b/>
        </w:rPr>
        <w:t>§ 81e Abs. 1 GWB:</w:t>
      </w:r>
      <w:r>
        <w:t xml:space="preserve"> Vollerlass — nur für das erste Unternehmen, das dem BKartA (i) vor einer Durchsuchung Informationen offenbart, die eine Durchsuchung erst ermöglichen, oder (ii) nach Verfahrenseinleitung als erstes ausreichende Informationen liefert, um die Zuwiderhandlung zu beweisen. (dejure.org/gesetze/GWB/81e.html)</w:t>
      </w:r>
    </w:p>
    <w:p>
      <w:pPr>
        <w:pStyle w:val="ListBullet"/>
      </w:pPr>
      <w:r>
        <w:rPr>
          <w:b/>
        </w:rPr>
        <w:t>§ 81e Abs. 2 GWB:</w:t>
      </w:r>
      <w:r>
        <w:t xml:space="preserve"> Rabatt — für weitere Unternehmen, die kooperieren und einen "bedeutenden Mehrwert" hinzufügen; Rabattsatz 20–50 % nach Ermessen des BKartA; zweiter Antragsteller typisch 30–50 %, dritter 20–30 %.</w:t>
      </w:r>
    </w:p>
    <w:p>
      <w:pPr>
        <w:pStyle w:val="ListBullet"/>
      </w:pPr>
      <w:r>
        <w:rPr>
          <w:b/>
        </w:rPr>
        <w:t>§ 81e Abs. 3 GWB:</w:t>
      </w:r>
      <w:r>
        <w:t xml:space="preserve"> Pflichten des Antragstellers — vollständige, ununterbrochene und prompte Zusammenarbeit; Geheimhaltung des Antrags (kein Vorab-Informieren von anderen Beteiligten); keine Vernichtung von Beweismitteln.</w:t>
      </w:r>
    </w:p>
    <w:p/>
    <w:p>
      <w:pPr>
        <w:pStyle w:val="Heading2"/>
      </w:pPr>
      <w:r>
        <w:rPr>
          <w:rFonts w:ascii="Times New Roman" w:hAnsi="Times New Roman"/>
        </w:rPr>
        <w:t>3. Bewertung der Kronzeugenstrategie</w:t>
      </w:r>
    </w:p>
    <w:p>
      <w:pPr>
        <w:pStyle w:val="Heading3"/>
      </w:pPr>
      <w:r>
        <w:rPr>
          <w:rFonts w:ascii="Times New Roman" w:hAnsi="Times New Roman"/>
        </w:rPr>
        <w:t>3.1 Risiken eines Kronzeugenantrags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Selbstbelastung im Strafrecht (§ 298 StGB — Submissionsabsprache)</w:t>
            </w:r>
          </w:p>
        </w:tc>
        <w:tc>
          <w:tcPr>
            <w:tcW w:type="dxa" w:w="4536"/>
          </w:tcPr>
          <w:p>
            <w:r>
              <w:rPr>
                <w:rFonts w:ascii="Times New Roman" w:hAnsi="Times New Roman"/>
                <w:sz w:val="20"/>
              </w:rPr>
              <w:t>Zu prüfen; § 81e GWB schützt nur im Verwaltungsbußgeldverfahren, nicht im Strafverfahren</w:t>
            </w:r>
          </w:p>
        </w:tc>
      </w:tr>
      <w:tr>
        <w:tc>
          <w:tcPr>
            <w:tcW w:type="dxa" w:w="4536"/>
          </w:tcPr>
          <w:p>
            <w:r>
              <w:rPr>
                <w:rFonts w:ascii="Times New Roman" w:hAnsi="Times New Roman"/>
                <w:sz w:val="20"/>
              </w:rPr>
              <w:t>Selbstbelastung in Schadensersatzprozessen (DB AG)</w:t>
            </w:r>
          </w:p>
        </w:tc>
        <w:tc>
          <w:tcPr>
            <w:tcW w:type="dxa" w:w="4536"/>
          </w:tcPr>
          <w:p>
            <w:r>
              <w:rPr>
                <w:rFonts w:ascii="Times New Roman" w:hAnsi="Times New Roman"/>
                <w:sz w:val="20"/>
              </w:rPr>
              <w:t>§ 81e Abs. 4 GWB: Kronzeugenaussagen sind begrenzt verwertbar in Follow-on-Verfahren; § 33g GWB schränkt Offenlegung ein</w:t>
            </w:r>
          </w:p>
        </w:tc>
      </w:tr>
      <w:tr>
        <w:tc>
          <w:tcPr>
            <w:tcW w:type="dxa" w:w="4536"/>
          </w:tcPr>
          <w:p>
            <w:r>
              <w:rPr>
                <w:rFonts w:ascii="Times New Roman" w:hAnsi="Times New Roman"/>
                <w:sz w:val="20"/>
              </w:rPr>
              <w:t>Belastung des Zusammenschlussverfahrens</w:t>
            </w:r>
          </w:p>
        </w:tc>
        <w:tc>
          <w:tcPr>
            <w:tcW w:type="dxa" w:w="4536"/>
          </w:tcPr>
          <w:p>
            <w:r>
              <w:rPr>
                <w:rFonts w:ascii="Times New Roman" w:hAnsi="Times New Roman"/>
                <w:sz w:val="20"/>
              </w:rPr>
              <w:t>Kronzeugenantrag signalisiert Kartellbeteiligung; dies könnte BKartA und Kommission im Zusammenschlussverfahren belasten</w:t>
            </w:r>
          </w:p>
        </w:tc>
      </w:tr>
      <w:tr>
        <w:tc>
          <w:tcPr>
            <w:tcW w:type="dxa" w:w="4536"/>
          </w:tcPr>
          <w:p>
            <w:r>
              <w:rPr>
                <w:rFonts w:ascii="Times New Roman" w:hAnsi="Times New Roman"/>
                <w:sz w:val="20"/>
              </w:rPr>
              <w:t>Reaktion der Co-Beteiligten</w:t>
            </w:r>
          </w:p>
        </w:tc>
        <w:tc>
          <w:tcPr>
            <w:tcW w:type="dxa" w:w="4536"/>
          </w:tcPr>
          <w:p>
            <w:r>
              <w:rPr>
                <w:rFonts w:ascii="Times New Roman" w:hAnsi="Times New Roman"/>
                <w:sz w:val="20"/>
              </w:rPr>
              <w:t>Rehme und TBA könnten Schadensersatzansprüche gegen GBW geltend machen</w:t>
            </w:r>
          </w:p>
        </w:tc>
      </w:tr>
      <w:tr>
        <w:tc>
          <w:tcPr>
            <w:tcW w:type="dxa" w:w="4536"/>
          </w:tcPr>
          <w:p>
            <w:r>
              <w:rPr>
                <w:rFonts w:ascii="Times New Roman" w:hAnsi="Times New Roman"/>
                <w:sz w:val="20"/>
              </w:rPr>
              <w:t>Reputationsschaden</w:t>
            </w:r>
          </w:p>
        </w:tc>
        <w:tc>
          <w:tcPr>
            <w:tcW w:type="dxa" w:w="4536"/>
          </w:tcPr>
          <w:p>
            <w:r>
              <w:rPr>
                <w:rFonts w:ascii="Times New Roman" w:hAnsi="Times New Roman"/>
                <w:sz w:val="20"/>
              </w:rPr>
              <w:t>Öffentlichkeit erhält Kenntnis</w:t>
            </w:r>
          </w:p>
        </w:tc>
      </w:tr>
    </w:tbl>
    <w:p>
      <w:pPr>
        <w:pStyle w:val="Heading3"/>
      </w:pPr>
      <w:r>
        <w:rPr>
          <w:rFonts w:ascii="Times New Roman" w:hAnsi="Times New Roman"/>
        </w:rPr>
        <w:t>3.2 Vorteile eines Kronzeugenantrags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Vorteil</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Bußgelderlass oder -rabatt (0–50 %)</w:t>
            </w:r>
          </w:p>
        </w:tc>
        <w:tc>
          <w:tcPr>
            <w:tcW w:type="dxa" w:w="4536"/>
          </w:tcPr>
          <w:p>
            <w:r>
              <w:rPr>
                <w:rFonts w:ascii="Times New Roman" w:hAnsi="Times New Roman"/>
                <w:sz w:val="20"/>
              </w:rPr>
              <w:t>Bei Umsatz 74,3 Mio. EUR: Ersparnis 2,2–7,4 Mio. EUR</w:t>
            </w:r>
          </w:p>
        </w:tc>
      </w:tr>
      <w:tr>
        <w:tc>
          <w:tcPr>
            <w:tcW w:type="dxa" w:w="4536"/>
          </w:tcPr>
          <w:p>
            <w:r>
              <w:rPr>
                <w:rFonts w:ascii="Times New Roman" w:hAnsi="Times New Roman"/>
                <w:sz w:val="20"/>
              </w:rPr>
              <w:t>Prozesskontrolle — GBW bestimmt Erzählrahmen</w:t>
            </w:r>
          </w:p>
        </w:tc>
        <w:tc>
          <w:tcPr>
            <w:tcW w:type="dxa" w:w="4536"/>
          </w:tcPr>
          <w:p>
            <w:r>
              <w:rPr>
                <w:rFonts w:ascii="Times New Roman" w:hAnsi="Times New Roman"/>
                <w:sz w:val="20"/>
              </w:rPr>
              <w:t>Stark</w:t>
            </w:r>
          </w:p>
        </w:tc>
      </w:tr>
      <w:tr>
        <w:tc>
          <w:tcPr>
            <w:tcW w:type="dxa" w:w="4536"/>
          </w:tcPr>
          <w:p>
            <w:r>
              <w:rPr>
                <w:rFonts w:ascii="Times New Roman" w:hAnsi="Times New Roman"/>
                <w:sz w:val="20"/>
              </w:rPr>
              <w:t>Frühzeitige Verfahrensbeendigung</w:t>
            </w:r>
          </w:p>
        </w:tc>
        <w:tc>
          <w:tcPr>
            <w:tcW w:type="dxa" w:w="4536"/>
          </w:tcPr>
          <w:p>
            <w:r>
              <w:rPr>
                <w:rFonts w:ascii="Times New Roman" w:hAnsi="Times New Roman"/>
                <w:sz w:val="20"/>
              </w:rPr>
              <w:t>Beschleunigung, geringere Rechtskosten</w:t>
            </w:r>
          </w:p>
        </w:tc>
      </w:tr>
      <w:tr>
        <w:tc>
          <w:tcPr>
            <w:tcW w:type="dxa" w:w="4536"/>
          </w:tcPr>
          <w:p>
            <w:r>
              <w:rPr>
                <w:rFonts w:ascii="Times New Roman" w:hAnsi="Times New Roman"/>
                <w:sz w:val="20"/>
              </w:rPr>
              <w:t>Vermeidung von Anschlussverfahren gegen natürliche Personen (Geschäftsführer)</w:t>
            </w:r>
          </w:p>
        </w:tc>
        <w:tc>
          <w:tcPr>
            <w:tcW w:type="dxa" w:w="4536"/>
          </w:tcPr>
          <w:p>
            <w:r>
              <w:rPr>
                <w:rFonts w:ascii="Times New Roman" w:hAnsi="Times New Roman"/>
                <w:sz w:val="20"/>
              </w:rPr>
              <w:t>Teilweise</w:t>
            </w:r>
          </w:p>
        </w:tc>
      </w:tr>
    </w:tbl>
    <w:p>
      <w:pPr>
        <w:pStyle w:val="Heading3"/>
      </w:pPr>
      <w:r>
        <w:rPr>
          <w:rFonts w:ascii="Times New Roman" w:hAnsi="Times New Roman"/>
        </w:rPr>
        <w:t>3.3 Wechselwirkung mit § 33g GWB (Follow-on-Schadensersatz)</w:t>
      </w:r>
    </w:p>
    <w:p>
      <w:pPr>
        <w:jc w:val="left"/>
      </w:pPr>
      <w:r>
        <w:t>§ 33g GWB regelt die Offenlegung von Beweismitteln in Schadensersatzklagen (kartellrechtliche Disclosure). Gemäß § 33g Abs. 3 GWB und Art. 6 Abs. 6 RL 2014/104/EU sind Kronzeugenaussagen von der richterlichen Anordnung zur Offenlegung gegenüber privaten Klägern ausgenommen. Diese Schutzvorschrift gilt jedoch nicht absolut. (dejure.org/gesetze/GWB/33g.html)</w:t>
      </w:r>
    </w:p>
    <w:p>
      <w:pPr>
        <w:jc w:val="left"/>
      </w:pPr>
      <w:r>
        <w:t>DB AG als Schadensersatzklägerin kann trotzdem relevante Informationen durch Akteneinsicht gemäß § 33g GWB in die nicht-kronzeugenprivilegierten Teile der Akte erhalten.</w:t>
      </w:r>
    </w:p>
    <w:p/>
    <w:p>
      <w:pPr>
        <w:pStyle w:val="Heading2"/>
      </w:pPr>
      <w:r>
        <w:rPr>
          <w:rFonts w:ascii="Times New Roman" w:hAnsi="Times New Roman"/>
        </w:rPr>
        <w:t>4. Empfehlung</w:t>
      </w:r>
    </w:p>
    <w:p>
      <w:pPr>
        <w:jc w:val="left"/>
      </w:pPr>
      <w:r>
        <w:t>Die Kanzlei empfiehlt der Mandantin:</w:t>
      </w:r>
    </w:p>
    <w:p>
      <w:pPr>
        <w:pStyle w:val="ListNumber"/>
      </w:pPr>
      <w:r>
        <w:rPr>
          <w:b/>
        </w:rPr>
        <w:t>Sofortige interne Bestandsaufnahme:</w:t>
      </w:r>
      <w:r>
        <w:t xml:space="preserve"> GBW soll within 24 Stunden alle intern verfügbaren Dokumente zu den angeblichen Treffen 2018–2021 zusammenstellen (interne Compliance-Untersuchung, Leitung: externe Forensik-Kanzlei als Submandat).</w:t>
      </w:r>
    </w:p>
    <w:p>
      <w:pPr>
        <w:pStyle w:val="ListNumber"/>
      </w:pPr>
      <w:r>
        <w:rPr>
          <w:b/>
        </w:rPr>
        <w:t>Kronzeugenantrag für Rabatt (§ 81e Abs. 2 GWB):</w:t>
      </w:r>
      <w:r>
        <w:t xml:space="preserve"> Sofern Rehme nicht bereits einen Vollerlassantrag eingereicht hat, sollte GBW innerhalb von 72 Stunden einen Rabattantrag stellen. Dies sichert zumindest einen Rabatt von 30–50 % und ermöglicht die Kontrolle über den Erzählrahmen.</w:t>
      </w:r>
    </w:p>
    <w:p>
      <w:pPr>
        <w:pStyle w:val="ListNumber"/>
      </w:pPr>
      <w:r>
        <w:rPr>
          <w:b/>
        </w:rPr>
        <w:t>Kein Vollerlass-Wettlauf:</w:t>
      </w:r>
      <w:r>
        <w:t xml:space="preserve"> Falls Rehme bereits einen Vollerlass-Antrag gestellt hat (unbekannt), hat GBW keine Chance mehr auf Vollerlass. Der Fokus liegt auf dem bestmöglichen Rabatt.</w:t>
      </w:r>
    </w:p>
    <w:p>
      <w:pPr>
        <w:pStyle w:val="ListNumber"/>
      </w:pPr>
      <w:r>
        <w:rPr>
          <w:b/>
        </w:rPr>
        <w:t>Strikte Trennung vom Zusammenschlussverfahren:</w:t>
      </w:r>
      <w:r>
        <w:t xml:space="preserve"> Kronzeugenantrag und Zusammenschlussanmeldung werden von getrennten Anwaltsteams geführt. Keine Cross-Communication.</w:t>
      </w:r>
    </w:p>
    <w:p>
      <w:pPr>
        <w:pStyle w:val="ListNumber"/>
      </w:pPr>
      <w:r>
        <w:rPr>
          <w:b/>
        </w:rPr>
        <w:t>Strafrecht-Check § 298 StGB:</w:t>
      </w:r>
      <w:r>
        <w:t xml:space="preserve"> Vor dem Kronzeugenantrag ist zu klären, ob Strafverfolgungsrisiken bestehen. Empfehlung: Konsultation eines Strafverteidigers als Nebenmandat.</w:t>
      </w:r>
    </w:p>
    <w:p/>
    <w:p>
      <w:pPr>
        <w:pStyle w:val="Heading2"/>
      </w:pPr>
      <w:r>
        <w:rPr>
          <w:rFonts w:ascii="Times New Roman" w:hAnsi="Times New Roman"/>
        </w:rPr>
        <w:t>5. Kronzeugenantrag — Musterstruktur (intern)</w:t>
      </w:r>
    </w:p>
    <w:p>
      <w:pPr>
        <w:jc w:val="left"/>
      </w:pPr>
      <w:r>
        <w:t>Der Antrag nach § 81e GWB enthält typischerweise:</w:t>
      </w:r>
    </w:p>
    <w:p>
      <w:pPr>
        <w:pStyle w:val="ListNumber"/>
      </w:pPr>
      <w:r>
        <w:t>Bezeichnung des Unternehmens und bevollmächtigte Rechtsanwälte</w:t>
      </w:r>
    </w:p>
    <w:p>
      <w:pPr>
        <w:pStyle w:val="ListNumber"/>
      </w:pPr>
      <w:r>
        <w:t>Erklärung der Kooperationsbereitschaft</w:t>
      </w:r>
    </w:p>
    <w:p>
      <w:pPr>
        <w:pStyle w:val="ListNumber"/>
      </w:pPr>
      <w:r>
        <w:t>Beschreibung der Zuwiderhandlung (Inhalt, Dauer, Beteiligte, Tatbeiträge)</w:t>
      </w:r>
    </w:p>
    <w:p>
      <w:pPr>
        <w:pStyle w:val="ListNumber"/>
      </w:pPr>
      <w:r>
        <w:t>Beweismittelangebot (Dokumente, Zeugen)</w:t>
      </w:r>
    </w:p>
    <w:p>
      <w:pPr>
        <w:pStyle w:val="ListNumber"/>
      </w:pPr>
      <w:r>
        <w:t>Erklärung zur Geheimhaltung gegenüber anderen Beteiligten</w:t>
      </w:r>
    </w:p>
    <w:p>
      <w:pPr>
        <w:jc w:val="left"/>
      </w:pPr>
      <w:r>
        <w:t>Der Antrag wird mündlich oder schriftlich beim BKartA eingereicht (telefonisch vorangemeldet, schriftlich hinterlegt). Zeitstempel des Eingangs ist entscheidend für die Reihenfolge.</w:t>
      </w:r>
    </w:p>
    <w:p/>
    <w:p>
      <w:pPr>
        <w:pStyle w:val="Heading2"/>
      </w:pPr>
      <w:r>
        <w:rPr>
          <w:rFonts w:ascii="Times New Roman" w:hAnsi="Times New Roman"/>
        </w:rPr>
        <w:t>Quellen</w:t>
      </w:r>
    </w:p>
    <w:p>
      <w:pPr>
        <w:pStyle w:val="ListBullet"/>
      </w:pPr>
      <w:r>
        <w:t>§ 81e GWB: dejure.org/gesetze/GWB/81e.html</w:t>
      </w:r>
    </w:p>
    <w:p>
      <w:pPr>
        <w:pStyle w:val="ListBullet"/>
      </w:pPr>
      <w:r>
        <w:t>§ 81 GWB: dejure.org/gesetze/GWB/81.html</w:t>
      </w:r>
    </w:p>
    <w:p>
      <w:pPr>
        <w:pStyle w:val="ListBullet"/>
      </w:pPr>
      <w:r>
        <w:t>§ 33g GWB: dejure.org/gesetze/GWB/33g.html</w:t>
      </w:r>
    </w:p>
    <w:p>
      <w:pPr>
        <w:pStyle w:val="ListBullet"/>
      </w:pPr>
      <w:r>
        <w:t>ECN+-Richtlinie 2019/1, Art. 17 ff.: EUR-Lex</w:t>
      </w:r>
    </w:p>
    <w:p>
      <w:pPr>
        <w:pStyle w:val="ListBullet"/>
      </w:pPr>
      <w:r>
        <w:t>§ 298 StGB (Submissionsabsprache): dejure.org/gesetze/StGB/298.html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