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Ökonomischer Test — Horizontaler Zusammenschluss und SIEC-Analyse</w:t>
      </w:r>
    </w:p>
    <w:p>
      <w:pPr>
        <w:jc w:val="left"/>
      </w:pPr>
      <w:r>
        <w:t>Datum: 15. April 2026</w:t>
      </w:r>
    </w:p>
    <w:p>
      <w:pPr>
        <w:jc w:val="left"/>
      </w:pPr>
      <w:r>
        <w:t>Bearbeiter: Prof. Dr. Cornelius Friedrich Schwertbeck (mit externer ökonomischer Beratung: Prof. Dr. Herbert Untermaier-Goethe, Universität zu Köln, Lehrstuhl für Industrieökonomik)</w:t>
      </w:r>
    </w:p>
    <w:p>
      <w:pPr>
        <w:jc w:val="left"/>
      </w:pPr>
      <w:r>
        <w:t>Aktenzeichen: SW/2026/KA-0318 | EU COMP M.92188</w:t>
      </w:r>
    </w:p>
    <w:p/>
    <w:p>
      <w:pPr>
        <w:pStyle w:val="Heading2"/>
      </w:pPr>
      <w:r>
        <w:rPr>
          <w:rFonts w:ascii="Times New Roman" w:hAnsi="Times New Roman"/>
        </w:rPr>
        <w:t>1. Klassifikation des Zusammenschlusses</w:t>
      </w:r>
    </w:p>
    <w:p>
      <w:pPr>
        <w:jc w:val="left"/>
      </w:pPr>
      <w:r>
        <w:t>Der vorliegende Zusammenschluss GBW/TBA ist:</w:t>
      </w:r>
    </w:p>
    <w:p>
      <w:pPr>
        <w:pStyle w:val="ListBullet"/>
      </w:pPr>
      <w:r>
        <w:rPr>
          <w:b/>
        </w:rPr>
        <w:t>Horizontal:</w:t>
      </w:r>
      <w:r>
        <w:t xml:space="preserve"> Beide Unternehmen sind Hersteller von Bahnbetonschwellen und damit direkte Wettbewerber auf derselben Marktstufe.</w:t>
      </w:r>
    </w:p>
    <w:p>
      <w:pPr>
        <w:pStyle w:val="ListBullet"/>
      </w:pPr>
      <w:r>
        <w:rPr>
          <w:b/>
        </w:rPr>
        <w:t>Nicht vertikal:</w:t>
      </w:r>
      <w:r>
        <w:t xml:space="preserve"> Keine Verflechtung zwischen vorgelagerten (Zement, Stahl) und nachgelagerten (Bahnbetrieb) Märkten.</w:t>
      </w:r>
    </w:p>
    <w:p>
      <w:pPr>
        <w:pStyle w:val="ListBullet"/>
      </w:pPr>
      <w:r>
        <w:rPr>
          <w:b/>
        </w:rPr>
        <w:t>Nicht konglomerat:</w:t>
      </w:r>
      <w:r>
        <w:t xml:space="preserve"> Keine Diversifizierung in sachfremde Märkte.</w:t>
      </w:r>
    </w:p>
    <w:p/>
    <w:p>
      <w:pPr>
        <w:pStyle w:val="Heading2"/>
      </w:pPr>
      <w:r>
        <w:rPr>
          <w:rFonts w:ascii="Times New Roman" w:hAnsi="Times New Roman"/>
        </w:rPr>
        <w:t>2. Horizontale Zusammenschlüsse — EU-Leitlinien</w:t>
      </w:r>
    </w:p>
    <w:p>
      <w:pPr>
        <w:jc w:val="left"/>
      </w:pPr>
      <w:r>
        <w:t>Die Horizontalleitlinien der Kommission (ABl. C 31/5 vom 05.02.2004) (EUR-Lex) unterscheiden:</w:t>
      </w:r>
    </w:p>
    <w:p>
      <w:pPr>
        <w:pStyle w:val="Heading3"/>
      </w:pPr>
      <w:r>
        <w:rPr>
          <w:rFonts w:ascii="Times New Roman" w:hAnsi="Times New Roman"/>
        </w:rPr>
        <w:t>2.1 Nicht-koordinierte (unilaterale) Effekte</w:t>
      </w:r>
    </w:p>
    <w:p>
      <w:pPr>
        <w:jc w:val="left"/>
      </w:pPr>
      <w:r>
        <w:t>Entstehen, wenn das fusionierte Unternehmen — unabhängig von Reaktionen der Wettbewerber — in der Lage ist, Preise zu erhöhen oder Qualität/Menge zu senken. Leitlinien Rn. 24 ff.:</w:t>
      </w:r>
    </w:p>
    <w:p>
      <w:pPr>
        <w:jc w:val="left"/>
      </w:pPr>
      <w:r>
        <w:rPr>
          <w:b/>
        </w:rPr>
        <w:t>Prüfkriterien:</w:t>
      </w:r>
    </w:p>
    <w:p>
      <w:pPr>
        <w:pStyle w:val="ListBullet"/>
      </w:pPr>
      <w:r>
        <w:t xml:space="preserve">Hoher Marktanteil des fusionierten Unternehmens: </w:t>
      </w:r>
      <w:r>
        <w:rPr>
          <w:b/>
        </w:rPr>
        <w:t>57 % — sehr hoch</w:t>
      </w:r>
    </w:p>
    <w:p>
      <w:pPr>
        <w:pStyle w:val="ListBullet"/>
      </w:pPr>
      <w:r>
        <w:t xml:space="preserve">Fusioniertes Unternehmen und einer der Fusionspartner waren pre-merger enger Wettbewerber: </w:t>
      </w:r>
      <w:r>
        <w:rPr>
          <w:b/>
        </w:rPr>
        <w:t>GBW und TBA boten identische Produkte an, konkurrierten direkt bei DB-Ausschreibungen</w:t>
      </w:r>
    </w:p>
    <w:p>
      <w:pPr>
        <w:pStyle w:val="ListBullet"/>
      </w:pPr>
      <w:r>
        <w:t xml:space="preserve">Wenig wettbewerblicher Druck durch Dritte: </w:t>
      </w:r>
      <w:r>
        <w:rPr>
          <w:b/>
        </w:rPr>
        <w:t>Rehme 18 % — zu klein für kurzfristige Kapazitätskompensation</w:t>
      </w:r>
    </w:p>
    <w:p>
      <w:pPr>
        <w:pStyle w:val="ListBullet"/>
      </w:pPr>
      <w:r>
        <w:t xml:space="preserve">Kunden können nicht rasch zu anderen Anbietern wechseln: </w:t>
      </w:r>
      <w:r>
        <w:rPr>
          <w:b/>
        </w:rPr>
        <w:t>DB-Rahmenverträge mit mehrjähriger Bindung</w:t>
      </w:r>
    </w:p>
    <w:p>
      <w:pPr>
        <w:jc w:val="left"/>
      </w:pPr>
      <w:r>
        <w:rPr>
          <w:b/>
        </w:rPr>
        <w:t>Ergebnis:</w:t>
      </w:r>
      <w:r>
        <w:t xml:space="preserve"> Nicht-koordinierte Effekte sind mit hoher Wahrscheinlichkeit zu erwarten.</w:t>
      </w:r>
    </w:p>
    <w:p>
      <w:pPr>
        <w:pStyle w:val="Heading3"/>
      </w:pPr>
      <w:r>
        <w:rPr>
          <w:rFonts w:ascii="Times New Roman" w:hAnsi="Times New Roman"/>
        </w:rPr>
        <w:t>2.2 Koordinierte Effekte</w:t>
      </w:r>
    </w:p>
    <w:p>
      <w:pPr>
        <w:jc w:val="left"/>
      </w:pPr>
      <w:r>
        <w:t>Entstehen, wenn der Zusammenschluss die Möglichkeit einer stillschweigenden Koordination zwischen verbleibenden Oligopolisten schafft oder erleichtert. Leitlinien Rn. 39 ff.:</w:t>
      </w:r>
    </w:p>
    <w:p>
      <w:pPr>
        <w:jc w:val="left"/>
      </w:pPr>
      <w:r>
        <w:rPr>
          <w:b/>
        </w:rPr>
        <w:t>Prüfkriterien nach "Airtours" (EuGH T-342/99):</w:t>
      </w:r>
    </w:p>
    <w:p>
      <w:pPr>
        <w:pStyle w:val="ListNumber"/>
      </w:pPr>
      <w:r>
        <w:t xml:space="preserve">Koordination muss erkennbar, stabil und profitabel sein — </w:t>
      </w:r>
      <w:r>
        <w:rPr>
          <w:b/>
        </w:rPr>
        <w:t>möglich: DE-Bahnbetonschwellenmarkt ist transparent (DB-Ausschreibungen öffentlich)</w:t>
      </w:r>
    </w:p>
    <w:p>
      <w:pPr>
        <w:pStyle w:val="ListNumber"/>
      </w:pPr>
      <w:r>
        <w:t xml:space="preserve">Koordination muss gegen Außenseiter (Marktaußenseiter) stabil sein — </w:t>
      </w:r>
      <w:r>
        <w:rPr>
          <w:b/>
        </w:rPr>
        <w:t>fraglich: Lausitz und Importe als Außenseiter</w:t>
      </w:r>
    </w:p>
    <w:p>
      <w:pPr>
        <w:pStyle w:val="ListNumber"/>
      </w:pPr>
      <w:r>
        <w:t xml:space="preserve">Reaktion von Abnehmern und Regulatoren muss absehbar minimal sein — </w:t>
      </w:r>
      <w:r>
        <w:rPr>
          <w:b/>
        </w:rPr>
        <w:t>fraglich: DB InfraGO als Monopsonist hat starke Gegenmacht</w:t>
      </w:r>
    </w:p>
    <w:p>
      <w:pPr>
        <w:jc w:val="left"/>
      </w:pPr>
      <w:r>
        <w:rPr>
          <w:b/>
        </w:rPr>
        <w:t>Bußgeldvorverfahren als Indiz:</w:t>
      </w:r>
      <w:r>
        <w:t xml:space="preserve"> Die Tatsache, dass GBW, TBA und Rehme im Zeitraum 2018–2021 vermutlich koordiniert haben (Bußgeldvorverfahren B6-56/22), ist ein Indiz für bestehende Koordinationsfähigkeit und -neigung. Dies wird die Kommission schwer gewichten.</w:t>
      </w:r>
    </w:p>
    <w:p>
      <w:pPr>
        <w:jc w:val="left"/>
      </w:pPr>
      <w:r>
        <w:rPr>
          <w:b/>
        </w:rPr>
        <w:t>Ergebnis:</w:t>
      </w:r>
      <w:r>
        <w:t xml:space="preserve"> Koordinierte Effekte sind möglich, aber weniger wahrscheinlich als unilaterale. Die Marktasymmetrie (57 % vs. 18 %) und die Gegenmacht der DB AG wirken dämpfend.</w:t>
      </w:r>
    </w:p>
    <w:p/>
    <w:p>
      <w:pPr>
        <w:pStyle w:val="Heading2"/>
      </w:pPr>
      <w:r>
        <w:rPr>
          <w:rFonts w:ascii="Times New Roman" w:hAnsi="Times New Roman"/>
        </w:rPr>
        <w:t>3. HHI-Analyse</w:t>
      </w:r>
    </w:p>
    <w:p>
      <w:pPr>
        <w:jc w:val="left"/>
      </w:pPr>
      <w:r>
        <w:t>Der Herfindahl-Hirschman-Index (HHI) misst die Marktkonzentration als Summe der quadrierten Marktanteile aller Marktteilnehmer.</w:t>
      </w:r>
    </w:p>
    <w:p>
      <w:pPr>
        <w:jc w:val="left"/>
      </w:pPr>
      <w:r>
        <w:rPr>
          <w:b/>
        </w:rPr>
        <w:t>Pre-Merger: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Unternehmen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Marktanteil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HHI-Beitrag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GBW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1.444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TBA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Lausitz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HHI pre-merger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2.442</w:t>
            </w:r>
          </w:p>
        </w:tc>
      </w:tr>
    </w:tbl>
    <w:p>
      <w:pPr>
        <w:jc w:val="left"/>
      </w:pPr>
      <w:r>
        <w:rPr>
          <w:b/>
        </w:rPr>
        <w:t>Post-Merger: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Unternehmen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Marktanteil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HHI-Beitrag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GBW + TBA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57 %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3.249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Lausitz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HHI post-merger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3.886</w:t>
            </w:r>
          </w:p>
        </w:tc>
      </w:tr>
    </w:tbl>
    <w:p>
      <w:pPr>
        <w:jc w:val="left"/>
      </w:pPr>
      <w:r>
        <w:rPr>
          <w:b/>
        </w:rPr>
        <w:t>Delta-HHI: 1.444</w:t>
      </w:r>
      <w:r>
        <w:t xml:space="preserve"> (= 2 × 38 × 19 = Näherungsformel)</w:t>
      </w:r>
    </w:p>
    <w:p>
      <w:pPr>
        <w:jc w:val="left"/>
      </w:pPr>
      <w:r>
        <w:t>Nach den EU-Horizontalleitlinien (Rn. 19 ff.) begründen ein HHI post-merger &gt; 2.000 und Delta-HHI &gt; 150 eine widerlegliche Vermutung erheblicher Wettbewerbsbedenken. Beide Schwellen sind deutlich überschritten.</w:t>
      </w:r>
    </w:p>
    <w:p/>
    <w:p>
      <w:pPr>
        <w:pStyle w:val="Heading2"/>
      </w:pPr>
      <w:r>
        <w:rPr>
          <w:rFonts w:ascii="Times New Roman" w:hAnsi="Times New Roman"/>
        </w:rPr>
        <w:t>4. Upward Pricing Pressure (UPP)</w:t>
      </w:r>
    </w:p>
    <w:p>
      <w:pPr>
        <w:jc w:val="left"/>
      </w:pPr>
      <w:r>
        <w:t>Der UPP-Test (Farrell/Shapiro 2010) schätzt den Aufwärtsdruck auf Preise nach einem Zusammenschluss ohne explizites Wettbewerbsmodell:</w:t>
      </w:r>
    </w:p>
    <w:p>
      <w:pPr>
        <w:jc w:val="left"/>
      </w:pPr>
      <w:r>
        <w:t>UPP_A = D_AB × p_B − E_A × c_A</w:t>
      </w:r>
    </w:p>
    <w:p>
      <w:pPr>
        <w:jc w:val="left"/>
      </w:pPr>
      <w:r>
        <w:t>Dabei ist:</w:t>
      </w:r>
    </w:p>
    <w:p>
      <w:pPr>
        <w:pStyle w:val="ListBullet"/>
      </w:pPr>
      <w:r>
        <w:t>D_AB = Diversionsrate von A zu B (Anteil der bei A verlorenen Kunden, die zu B wechseln)</w:t>
      </w:r>
    </w:p>
    <w:p>
      <w:pPr>
        <w:pStyle w:val="ListBullet"/>
      </w:pPr>
      <w:r>
        <w:t>p_B = Preis von B</w:t>
      </w:r>
    </w:p>
    <w:p>
      <w:pPr>
        <w:pStyle w:val="ListBullet"/>
      </w:pPr>
      <w:r>
        <w:t>E_A = Effizienzgewinn (Prozent)</w:t>
      </w:r>
    </w:p>
    <w:p>
      <w:pPr>
        <w:pStyle w:val="ListBullet"/>
      </w:pPr>
      <w:r>
        <w:t>c_A = Grenzkosten von A</w:t>
      </w:r>
    </w:p>
    <w:p>
      <w:pPr>
        <w:jc w:val="left"/>
      </w:pPr>
      <w:r>
        <w:rPr>
          <w:b/>
        </w:rPr>
        <w:t>Schätzung:</w:t>
      </w:r>
    </w:p>
    <w:p>
      <w:pPr>
        <w:pStyle w:val="ListBullet"/>
      </w:pPr>
      <w:r>
        <w:t>D_AB (GBW zu TBA): ca. 0,35 (bei DB-Ausschreibungen, wo beide anbieten, wechseln ca. 35 % der DB-Mengen zu TBA, wenn GBW teurer wird)</w:t>
      </w:r>
    </w:p>
    <w:p>
      <w:pPr>
        <w:pStyle w:val="ListBullet"/>
      </w:pPr>
      <w:r>
        <w:t>p_B = 41 EUR/Schwelle (TBA-Preis)</w:t>
      </w:r>
    </w:p>
    <w:p>
      <w:pPr>
        <w:pStyle w:val="ListBullet"/>
      </w:pPr>
      <w:r>
        <w:t>E_A = 5 % angenommen (Effizienzen aus Kostensynergien)</w:t>
      </w:r>
    </w:p>
    <w:p>
      <w:pPr>
        <w:pStyle w:val="ListBullet"/>
      </w:pPr>
      <w:r>
        <w:t>c_A = 28 EUR/Schwelle (GBW-Grenzkosten Schätzung)</w:t>
      </w:r>
    </w:p>
    <w:p>
      <w:pPr>
        <w:jc w:val="left"/>
      </w:pPr>
      <w:r>
        <w:t xml:space="preserve">UPP_GBW = 0,35 × 41 − 0,05 × 28 = 14,35 − 1,40 = </w:t>
      </w:r>
      <w:r>
        <w:rPr>
          <w:b/>
        </w:rPr>
        <w:t>12,95 EUR/Schwelle (positiv = Preissteigerungsdruck)</w:t>
      </w:r>
    </w:p>
    <w:p>
      <w:pPr>
        <w:jc w:val="left"/>
      </w:pPr>
      <w:r>
        <w:t>Ein positiver UPP bestätigt: Der Zusammenschluss erzeugt ohne Gegenmäßnahmen einen erheblichen Aufwärtsdruck auf die Preise.</w:t>
      </w:r>
    </w:p>
    <w:p/>
    <w:p>
      <w:pPr>
        <w:pStyle w:val="Heading2"/>
      </w:pPr>
      <w:r>
        <w:rPr>
          <w:rFonts w:ascii="Times New Roman" w:hAnsi="Times New Roman"/>
        </w:rPr>
        <w:t>5. Fazit der ökonomischen Analyse</w:t>
      </w:r>
    </w:p>
    <w:p>
      <w:pPr>
        <w:jc w:val="left"/>
      </w:pPr>
      <w:r>
        <w:t>Der Zusammenschluss GBW / TBA ist ein horizontaler Zusammenschluss mit:</w:t>
      </w:r>
    </w:p>
    <w:p>
      <w:pPr>
        <w:pStyle w:val="ListBullet"/>
      </w:pPr>
      <w:r>
        <w:t>Starken unilateralen Effekten (hoher Marktanteil, enge pre-merger Wettbewerbsbeziehung, begrenzte Ausweichmöglichkeiten)</w:t>
      </w:r>
    </w:p>
    <w:p>
      <w:pPr>
        <w:pStyle w:val="ListBullet"/>
      </w:pPr>
      <w:r>
        <w:t>Möglichen koordinierten Effekten (Vergangenheit der Preiskoordination, Transparenz)</w:t>
      </w:r>
    </w:p>
    <w:p>
      <w:pPr>
        <w:pStyle w:val="ListBullet"/>
      </w:pPr>
      <w:r>
        <w:t>Sehr hohem HHI (3.886) und Delta-HHI (1.444)</w:t>
      </w:r>
    </w:p>
    <w:p>
      <w:pPr>
        <w:pStyle w:val="ListBullet"/>
      </w:pPr>
      <w:r>
        <w:t>Positivem UPP (ca. 13 EUR/Schwelle — ca. 30–35 % des Listenpreises)</w:t>
      </w:r>
    </w:p>
    <w:p>
      <w:pPr>
        <w:jc w:val="left"/>
      </w:pPr>
      <w:r>
        <w:t>Ohne Abhilfemaßnahmen würde die Kommission den Zusammenschluss mit hoher Wahrscheinlichkeit untersagen.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Horizontalleitlinien der Kommission (ABl. C 31/5, 05.02.2004): EUR-Lex</w:t>
      </w:r>
    </w:p>
    <w:p>
      <w:pPr>
        <w:pStyle w:val="ListBullet"/>
      </w:pPr>
      <w:r>
        <w:t>EuGH T-342/99 "Airtours/First Choice" (koordinierte Effekte): EUR-Lex</w:t>
      </w:r>
    </w:p>
    <w:p>
      <w:pPr>
        <w:pStyle w:val="ListBullet"/>
      </w:pPr>
      <w:r>
        <w:t>Art. 2 FKVO 139/2004: EUR-Lex</w:t>
      </w:r>
    </w:p>
    <w:p>
      <w:pPr>
        <w:pStyle w:val="ListBullet"/>
      </w:pPr>
      <w:r>
        <w:t>§ 36 GWB: dejure.org/gesetze/GWB/36.html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