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Effizienzverteidigung und Failing Firm Defense — § 36 GWB</w:t>
      </w:r>
    </w:p>
    <w:p>
      <w:pPr>
        <w:jc w:val="left"/>
      </w:pPr>
      <w:r>
        <w:t>Datum: 18. April 2026</w:t>
      </w:r>
    </w:p>
    <w:p>
      <w:pPr>
        <w:jc w:val="left"/>
      </w:pPr>
      <w:r>
        <w:t>Bearbeiter: Prof. Dr. Cornelius Friedrich Schwertbeck</w:t>
      </w:r>
    </w:p>
    <w:p>
      <w:pPr>
        <w:jc w:val="left"/>
      </w:pPr>
      <w:r>
        <w:t>Aktenzeichen: SW/2026/KA-0318 | EU COMP M.92188</w:t>
      </w:r>
    </w:p>
    <w:p/>
    <w:p>
      <w:pPr>
        <w:pStyle w:val="Heading2"/>
      </w:pPr>
      <w:r>
        <w:rPr>
          <w:rFonts w:ascii="Times New Roman" w:hAnsi="Times New Roman"/>
        </w:rPr>
        <w:t>1. Effizienzverteidigung (Efficiency Defense)</w:t>
      </w:r>
    </w:p>
    <w:p>
      <w:pPr>
        <w:pStyle w:val="Heading3"/>
      </w:pPr>
      <w:r>
        <w:rPr>
          <w:rFonts w:ascii="Times New Roman" w:hAnsi="Times New Roman"/>
        </w:rPr>
        <w:t>1.1 Rechtsgrundlage</w:t>
      </w:r>
    </w:p>
    <w:p>
      <w:pPr>
        <w:jc w:val="left"/>
      </w:pPr>
      <w:r>
        <w:t>§ 36 Abs. 1 Satz 2 GWB i.V.m. Art. 2 Abs. 1 lit. b FKVO 139/2004: Effizienzgewinne, die durch den Zusammenschluss entstehen, können wettbewerbliche Nachteile kompensieren, wenn sie:</w:t>
      </w:r>
    </w:p>
    <w:p>
      <w:pPr>
        <w:pStyle w:val="ListNumber"/>
      </w:pPr>
      <w:r>
        <w:rPr>
          <w:b/>
        </w:rPr>
        <w:t>fusionsspezifisch</w:t>
      </w:r>
      <w:r>
        <w:t xml:space="preserve"> sind (d. h. nicht ohne den Zusammenschluss erzielbar),</w:t>
      </w:r>
    </w:p>
    <w:p>
      <w:pPr>
        <w:pStyle w:val="ListNumber"/>
      </w:pPr>
      <w:r>
        <w:rPr>
          <w:b/>
        </w:rPr>
        <w:t>verifiziertbar</w:t>
      </w:r>
      <w:r>
        <w:t xml:space="preserve"> (nicht spekulativ),</w:t>
      </w:r>
    </w:p>
    <w:p>
      <w:pPr>
        <w:pStyle w:val="ListNumber"/>
      </w:pPr>
      <w:r>
        <w:rPr>
          <w:b/>
        </w:rPr>
        <w:t>erheblich</w:t>
      </w:r>
      <w:r>
        <w:t xml:space="preserve"> sind und</w:t>
      </w:r>
    </w:p>
    <w:p>
      <w:pPr>
        <w:pStyle w:val="ListNumber"/>
      </w:pPr>
      <w:r>
        <w:rPr>
          <w:b/>
        </w:rPr>
        <w:t>zum Wohle der Verbraucher</w:t>
      </w:r>
      <w:r>
        <w:t xml:space="preserve"> weitergegeben werden.</w:t>
      </w:r>
    </w:p>
    <w:p>
      <w:pPr>
        <w:jc w:val="left"/>
      </w:pPr>
      <w:r>
        <w:t>(dejure.org/gesetze/GWB/36.html; EUR-Lex FKVO)</w:t>
      </w:r>
    </w:p>
    <w:p>
      <w:pPr>
        <w:jc w:val="left"/>
      </w:pPr>
      <w:r>
        <w:t>In der EU-Praxis hat die Kommission die Efficiency Defense in reinen Preis-Zusammenschlüssen mit hohen Marktanteilen bislang nur selten anerkannt. Die Messlatte ist hoch.</w:t>
      </w:r>
    </w:p>
    <w:p>
      <w:pPr>
        <w:pStyle w:val="Heading3"/>
      </w:pPr>
      <w:r>
        <w:rPr>
          <w:rFonts w:ascii="Times New Roman" w:hAnsi="Times New Roman"/>
        </w:rPr>
        <w:t>1.2 Geltend gemachte Effizienzen</w:t>
      </w:r>
    </w:p>
    <w:p>
      <w:pPr>
        <w:jc w:val="left"/>
      </w:pPr>
      <w:r>
        <w:t>GBW macht folgende Effizienzgewinne geltend:</w:t>
      </w:r>
    </w:p>
    <w:p>
      <w:pPr>
        <w:pStyle w:val="Heading3"/>
      </w:pPr>
      <w:r>
        <w:rPr>
          <w:rFonts w:ascii="Times New Roman" w:hAnsi="Times New Roman"/>
        </w:rPr>
        <w:t>(a) Produktionskosteneinsparungen</w:t>
      </w:r>
    </w:p>
    <w:p>
      <w:pPr>
        <w:pStyle w:val="ListBullet"/>
      </w:pPr>
      <w:r>
        <w:rPr>
          <w:b/>
        </w:rPr>
        <w:t>Auslastungsoptimierung:</w:t>
      </w:r>
      <w:r>
        <w:t xml:space="preserve"> Zusammenführung der Produktionskapazitäten von GBW (Münster/Hamm) und TBA (Bielefeld) erlaubt optimierte Linienbelegung; geschätzte Kosteneinsparung: ca. 2,8 Mio. EUR/Jahr.</w:t>
      </w:r>
    </w:p>
    <w:p>
      <w:pPr>
        <w:pStyle w:val="ListBullet"/>
      </w:pPr>
      <w:r>
        <w:rPr>
          <w:b/>
        </w:rPr>
        <w:t>Einkaufssynergien (Zement, Stahl):</w:t>
      </w:r>
      <w:r>
        <w:t xml:space="preserve"> Gebündeltes Einkaufsvolumen (GBW + TBA zusammen ca. 38.000 t Zement/Jahr) erlaubt bessere Einkaufskonditionen; geschätzte Einsparung: ca. 1,1 Mio. EUR/Jahr.</w:t>
      </w:r>
    </w:p>
    <w:p>
      <w:pPr>
        <w:pStyle w:val="ListBullet"/>
      </w:pPr>
      <w:r>
        <w:rPr>
          <w:b/>
        </w:rPr>
        <w:t>FuE-Synergien:</w:t>
      </w:r>
      <w:r>
        <w:t xml:space="preserve"> Gemeinsame Entwicklung der nächsten Schwellengeneration (hochleistungs-Verbundwerkstoff-Einlage); Einsparung Doppelentwicklungskosten: ca. 0,8 Mio. EUR/Jahr.</w:t>
      </w:r>
    </w:p>
    <w:p>
      <w:pPr>
        <w:jc w:val="left"/>
      </w:pPr>
      <w:r>
        <w:rPr>
          <w:b/>
        </w:rPr>
        <w:t>Gesamte Kosteneinsparung: ca. 4,7 Mio. EUR/Jahr</w:t>
      </w:r>
    </w:p>
    <w:p>
      <w:pPr>
        <w:pStyle w:val="Heading3"/>
      </w:pPr>
      <w:r>
        <w:rPr>
          <w:rFonts w:ascii="Times New Roman" w:hAnsi="Times New Roman"/>
        </w:rPr>
        <w:t>(b) Qualitätsverbesserungen</w:t>
      </w:r>
    </w:p>
    <w:p>
      <w:pPr>
        <w:pStyle w:val="ListBullet"/>
      </w:pPr>
      <w:r>
        <w:t>TBA hat ein spezielles Know-how für Straßenbahn-Sonderschwellen (Kurvenradius &lt; 30 m), das bisher nur für kommunale Verkehrsbetriebe verfügbar ist. Integration in GBW-Produktportfolio schafft Synergien für Bahn-Mixbetreiber.</w:t>
      </w:r>
    </w:p>
    <w:p>
      <w:pPr>
        <w:pStyle w:val="Heading3"/>
      </w:pPr>
      <w:r>
        <w:rPr>
          <w:rFonts w:ascii="Times New Roman" w:hAnsi="Times New Roman"/>
        </w:rPr>
        <w:t>(c) Innovations-Effizienz</w:t>
      </w:r>
    </w:p>
    <w:p>
      <w:pPr>
        <w:pStyle w:val="ListBullet"/>
      </w:pPr>
      <w:r>
        <w:t>Gebündeltes FuE-Budget (GBW ca. 1,2 Mio. EUR/Jahr; TBA ca. 0,3 Mio. EUR/Jahr) kann zielgerichteter eingesetzt werden für die Entwicklung von CO2-reduzierten Beton-Mischungen (DB-Nachhaltigkeitsziel 2030).</w:t>
      </w:r>
    </w:p>
    <w:p>
      <w:pPr>
        <w:pStyle w:val="Heading3"/>
      </w:pPr>
      <w:r>
        <w:rPr>
          <w:rFonts w:ascii="Times New Roman" w:hAnsi="Times New Roman"/>
        </w:rPr>
        <w:t>1.3 Bewertung der Effizienzverteidigung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Effizienztyp</w:t>
            </w:r>
          </w:p>
        </w:tc>
        <w:tc>
          <w:tcPr>
            <w:tcW w:type="dxa" w:w="1814"/>
          </w:tcPr>
          <w:p>
            <w:r>
              <w:rPr>
                <w:rFonts w:ascii="Times New Roman" w:hAnsi="Times New Roman"/>
                <w:b/>
                <w:sz w:val="20"/>
              </w:rPr>
              <w:t>Fusionsspezifisch?</w:t>
            </w:r>
          </w:p>
        </w:tc>
        <w:tc>
          <w:tcPr>
            <w:tcW w:type="dxa" w:w="1814"/>
          </w:tcPr>
          <w:p>
            <w:r>
              <w:rPr>
                <w:rFonts w:ascii="Times New Roman" w:hAnsi="Times New Roman"/>
                <w:b/>
                <w:sz w:val="20"/>
              </w:rPr>
              <w:t>Verifizierbar?</w:t>
            </w:r>
          </w:p>
        </w:tc>
        <w:tc>
          <w:tcPr>
            <w:tcW w:type="dxa" w:w="1814"/>
          </w:tcPr>
          <w:p>
            <w:r>
              <w:rPr>
                <w:rFonts w:ascii="Times New Roman" w:hAnsi="Times New Roman"/>
                <w:b/>
                <w:sz w:val="20"/>
              </w:rPr>
              <w:t>Verbraucherweitergabe?</w:t>
            </w:r>
          </w:p>
        </w:tc>
        <w:tc>
          <w:tcPr>
            <w:tcW w:type="dxa" w:w="1814"/>
          </w:tcPr>
          <w:p>
            <w:r>
              <w:rPr>
                <w:rFonts w:ascii="Times New Roman" w:hAnsi="Times New Roman"/>
                <w:b/>
                <w:sz w:val="20"/>
              </w:rPr>
              <w:t>Einschätzung</w:t>
            </w:r>
          </w:p>
        </w:tc>
      </w:tr>
      <w:tr>
        <w:tc>
          <w:tcPr>
            <w:tcW w:type="dxa" w:w="1814"/>
          </w:tcPr>
          <w:p>
            <w:r>
              <w:rPr>
                <w:rFonts w:ascii="Times New Roman" w:hAnsi="Times New Roman"/>
                <w:sz w:val="20"/>
              </w:rPr>
              <w:t>Produktionskosteneinsparung</w:t>
            </w:r>
          </w:p>
        </w:tc>
        <w:tc>
          <w:tcPr>
            <w:tcW w:type="dxa" w:w="1814"/>
          </w:tcPr>
          <w:p>
            <w:r>
              <w:rPr>
                <w:rFonts w:ascii="Times New Roman" w:hAnsi="Times New Roman"/>
                <w:sz w:val="20"/>
              </w:rPr>
              <w:t>Teilweise ja</w:t>
            </w:r>
          </w:p>
        </w:tc>
        <w:tc>
          <w:tcPr>
            <w:tcW w:type="dxa" w:w="1814"/>
          </w:tcPr>
          <w:p>
            <w:r>
              <w:rPr>
                <w:rFonts w:ascii="Times New Roman" w:hAnsi="Times New Roman"/>
                <w:sz w:val="20"/>
              </w:rPr>
              <w:t>Ja (WP-Bestätigung)</w:t>
            </w:r>
          </w:p>
        </w:tc>
        <w:tc>
          <w:tcPr>
            <w:tcW w:type="dxa" w:w="1814"/>
          </w:tcPr>
          <w:p>
            <w:r>
              <w:rPr>
                <w:rFonts w:ascii="Times New Roman" w:hAnsi="Times New Roman"/>
                <w:sz w:val="20"/>
              </w:rPr>
              <w:t>Unklar — DB AG als Monopsonist könnte fordern</w:t>
            </w:r>
          </w:p>
        </w:tc>
        <w:tc>
          <w:tcPr>
            <w:tcW w:type="dxa" w:w="1814"/>
          </w:tcPr>
          <w:p>
            <w:r>
              <w:rPr>
                <w:rFonts w:ascii="Times New Roman" w:hAnsi="Times New Roman"/>
                <w:sz w:val="20"/>
              </w:rPr>
              <w:t>Mittelstark</w:t>
            </w:r>
          </w:p>
        </w:tc>
      </w:tr>
      <w:tr>
        <w:tc>
          <w:tcPr>
            <w:tcW w:type="dxa" w:w="1814"/>
          </w:tcPr>
          <w:p>
            <w:r>
              <w:rPr>
                <w:rFonts w:ascii="Times New Roman" w:hAnsi="Times New Roman"/>
                <w:sz w:val="20"/>
              </w:rPr>
              <w:t>Einkaufssynergien</w:t>
            </w:r>
          </w:p>
        </w:tc>
        <w:tc>
          <w:tcPr>
            <w:tcW w:type="dxa" w:w="1814"/>
          </w:tcPr>
          <w:p>
            <w:r>
              <w:rPr>
                <w:rFonts w:ascii="Times New Roman" w:hAnsi="Times New Roman"/>
                <w:sz w:val="20"/>
              </w:rPr>
              <w:t>Ja</w:t>
            </w:r>
          </w:p>
        </w:tc>
        <w:tc>
          <w:tcPr>
            <w:tcW w:type="dxa" w:w="1814"/>
          </w:tcPr>
          <w:p>
            <w:r>
              <w:rPr>
                <w:rFonts w:ascii="Times New Roman" w:hAnsi="Times New Roman"/>
                <w:sz w:val="20"/>
              </w:rPr>
              <w:t>Ja</w:t>
            </w:r>
          </w:p>
        </w:tc>
        <w:tc>
          <w:tcPr>
            <w:tcW w:type="dxa" w:w="1814"/>
          </w:tcPr>
          <w:p>
            <w:r>
              <w:rPr>
                <w:rFonts w:ascii="Times New Roman" w:hAnsi="Times New Roman"/>
                <w:sz w:val="20"/>
              </w:rPr>
              <w:t>Indirekt</w:t>
            </w:r>
          </w:p>
        </w:tc>
        <w:tc>
          <w:tcPr>
            <w:tcW w:type="dxa" w:w="1814"/>
          </w:tcPr>
          <w:p>
            <w:r>
              <w:rPr>
                <w:rFonts w:ascii="Times New Roman" w:hAnsi="Times New Roman"/>
                <w:sz w:val="20"/>
              </w:rPr>
              <w:t>Mittelstark</w:t>
            </w:r>
          </w:p>
        </w:tc>
      </w:tr>
      <w:tr>
        <w:tc>
          <w:tcPr>
            <w:tcW w:type="dxa" w:w="1814"/>
          </w:tcPr>
          <w:p>
            <w:r>
              <w:rPr>
                <w:rFonts w:ascii="Times New Roman" w:hAnsi="Times New Roman"/>
                <w:sz w:val="20"/>
              </w:rPr>
              <w:t>FuE-Synergien</w:t>
            </w:r>
          </w:p>
        </w:tc>
        <w:tc>
          <w:tcPr>
            <w:tcW w:type="dxa" w:w="1814"/>
          </w:tcPr>
          <w:p>
            <w:r>
              <w:rPr>
                <w:rFonts w:ascii="Times New Roman" w:hAnsi="Times New Roman"/>
                <w:sz w:val="20"/>
              </w:rPr>
              <w:t>Teilweise</w:t>
            </w:r>
          </w:p>
        </w:tc>
        <w:tc>
          <w:tcPr>
            <w:tcW w:type="dxa" w:w="1814"/>
          </w:tcPr>
          <w:p>
            <w:r>
              <w:rPr>
                <w:rFonts w:ascii="Times New Roman" w:hAnsi="Times New Roman"/>
                <w:sz w:val="20"/>
              </w:rPr>
              <w:t>Schwer verifizierbar</w:t>
            </w:r>
          </w:p>
        </w:tc>
        <w:tc>
          <w:tcPr>
            <w:tcW w:type="dxa" w:w="1814"/>
          </w:tcPr>
          <w:p>
            <w:r>
              <w:rPr>
                <w:rFonts w:ascii="Times New Roman" w:hAnsi="Times New Roman"/>
                <w:sz w:val="20"/>
              </w:rPr>
              <w:t>Mittelbar (Produktqualität)</w:t>
            </w:r>
          </w:p>
        </w:tc>
        <w:tc>
          <w:tcPr>
            <w:tcW w:type="dxa" w:w="1814"/>
          </w:tcPr>
          <w:p>
            <w:r>
              <w:rPr>
                <w:rFonts w:ascii="Times New Roman" w:hAnsi="Times New Roman"/>
                <w:sz w:val="20"/>
              </w:rPr>
              <w:t>Schwach</w:t>
            </w:r>
          </w:p>
        </w:tc>
      </w:tr>
    </w:tbl>
    <w:p>
      <w:pPr>
        <w:jc w:val="left"/>
      </w:pPr>
      <w:r>
        <w:t>Die Kanzlei schätzt, dass die Effizienzverteidigung allein nicht ausreicht, die Wettbewerbsbedenken zu überwinden. Sie ist jedoch als ergänzendes Argument im Phase-II-Verfahren und als Qualifikationsmerkmal für die Höhe etwaiger Auflagen einzusetzen.</w:t>
      </w:r>
    </w:p>
    <w:p/>
    <w:p>
      <w:pPr>
        <w:pStyle w:val="Heading2"/>
      </w:pPr>
      <w:r>
        <w:rPr>
          <w:rFonts w:ascii="Times New Roman" w:hAnsi="Times New Roman"/>
        </w:rPr>
        <w:t>2. Failing Firm Defense (FFD)</w:t>
      </w:r>
    </w:p>
    <w:p>
      <w:pPr>
        <w:pStyle w:val="Heading3"/>
      </w:pPr>
      <w:r>
        <w:rPr>
          <w:rFonts w:ascii="Times New Roman" w:hAnsi="Times New Roman"/>
        </w:rPr>
        <w:t>2.1 Rechtliche Voraussetzungen</w:t>
      </w:r>
    </w:p>
    <w:p>
      <w:pPr>
        <w:jc w:val="left"/>
      </w:pPr>
      <w:r>
        <w:t>Die Failing Firm Defense ermöglicht die Freigabe eines Zusammenschlusses, auch wenn er zu einer marktbeherrschenden Stellung führt, wenn das übernommene Unternehmen andernfalls aus dem Markt ausscheiden würde und die Übernahme der Marktanteile durch den verbleibenden Wettbewerber die zwangsläufige Konsequenz wäre.</w:t>
      </w:r>
    </w:p>
    <w:p>
      <w:pPr>
        <w:jc w:val="left"/>
      </w:pPr>
      <w:r>
        <w:t>Die EU-Kommission hat die FFD-Voraussetzungen in der Praxis sehr eng definiert (Leitlinien Rn. 89 ff.):</w:t>
      </w:r>
    </w:p>
    <w:p>
      <w:pPr>
        <w:pStyle w:val="ListNumber"/>
      </w:pPr>
      <w:r>
        <w:t>Das übernommene Unternehmen würde in naher Zukunft aus dem Markt austreten (Insolvenz, keine Überlebenschance als eigenständige Einheit).</w:t>
      </w:r>
    </w:p>
    <w:p>
      <w:pPr>
        <w:pStyle w:val="ListNumber"/>
      </w:pPr>
      <w:r>
        <w:t>Es gibt keinen weniger wettbewerbsschädlichen Alternativerwerber.</w:t>
      </w:r>
    </w:p>
    <w:p>
      <w:pPr>
        <w:pStyle w:val="ListNumber"/>
      </w:pPr>
      <w:r>
        <w:t>Die Marktanteile des übernommenen Unternehmens würden ohnehin auf den Erwerber oder seine Wettbewerber übergehen — der Zusammenschluss ist nicht kausal für die Konzentration.</w:t>
      </w:r>
    </w:p>
    <w:p>
      <w:pPr>
        <w:pStyle w:val="Heading3"/>
      </w:pPr>
      <w:r>
        <w:rPr>
          <w:rFonts w:ascii="Times New Roman" w:hAnsi="Times New Roman"/>
        </w:rPr>
        <w:t>2.2 Situation der Tannenheim Betonelemente AG</w:t>
      </w:r>
    </w:p>
    <w:p>
      <w:pPr>
        <w:jc w:val="left"/>
      </w:pPr>
      <w:r>
        <w:t>TBA zeigt folgende Krisensymptome: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Umsatzentwicklung 2020–2025</w:t>
            </w:r>
          </w:p>
        </w:tc>
        <w:tc>
          <w:tcPr>
            <w:tcW w:type="dxa" w:w="4536"/>
          </w:tcPr>
          <w:p>
            <w:r>
              <w:rPr>
                <w:rFonts w:ascii="Times New Roman" w:hAnsi="Times New Roman"/>
                <w:sz w:val="20"/>
              </w:rPr>
              <w:t>-12 % (Marktanteil von 23 % auf 19 %)</w:t>
            </w:r>
          </w:p>
        </w:tc>
      </w:tr>
      <w:tr>
        <w:tc>
          <w:tcPr>
            <w:tcW w:type="dxa" w:w="4536"/>
          </w:tcPr>
          <w:p>
            <w:r>
              <w:rPr>
                <w:rFonts w:ascii="Times New Roman" w:hAnsi="Times New Roman"/>
                <w:sz w:val="20"/>
              </w:rPr>
              <w:t>EBITDA-Marge 2025</w:t>
            </w:r>
          </w:p>
        </w:tc>
        <w:tc>
          <w:tcPr>
            <w:tcW w:type="dxa" w:w="4536"/>
          </w:tcPr>
          <w:p>
            <w:r>
              <w:rPr>
                <w:rFonts w:ascii="Times New Roman" w:hAnsi="Times New Roman"/>
                <w:sz w:val="20"/>
              </w:rPr>
              <w:t>3,2 % (Branchendurchschnitt: ca. 11 %)</w:t>
            </w:r>
          </w:p>
        </w:tc>
      </w:tr>
      <w:tr>
        <w:tc>
          <w:tcPr>
            <w:tcW w:type="dxa" w:w="4536"/>
          </w:tcPr>
          <w:p>
            <w:r>
              <w:rPr>
                <w:rFonts w:ascii="Times New Roman" w:hAnsi="Times New Roman"/>
                <w:sz w:val="20"/>
              </w:rPr>
              <w:t>Nettoverschuldung</w:t>
            </w:r>
          </w:p>
        </w:tc>
        <w:tc>
          <w:tcPr>
            <w:tcW w:type="dxa" w:w="4536"/>
          </w:tcPr>
          <w:p>
            <w:r>
              <w:rPr>
                <w:rFonts w:ascii="Times New Roman" w:hAnsi="Times New Roman"/>
                <w:sz w:val="20"/>
              </w:rPr>
              <w:t>14,8 Mio. EUR (bei Bilanzsumme ca. 28 Mio. EUR — sehr hoch)</w:t>
            </w:r>
          </w:p>
        </w:tc>
      </w:tr>
      <w:tr>
        <w:tc>
          <w:tcPr>
            <w:tcW w:type="dxa" w:w="4536"/>
          </w:tcPr>
          <w:p>
            <w:r>
              <w:rPr>
                <w:rFonts w:ascii="Times New Roman" w:hAnsi="Times New Roman"/>
                <w:sz w:val="20"/>
              </w:rPr>
              <w:t>Investitionsrückstand</w:t>
            </w:r>
          </w:p>
        </w:tc>
        <w:tc>
          <w:tcPr>
            <w:tcW w:type="dxa" w:w="4536"/>
          </w:tcPr>
          <w:p>
            <w:r>
              <w:rPr>
                <w:rFonts w:ascii="Times New Roman" w:hAnsi="Times New Roman"/>
                <w:sz w:val="20"/>
              </w:rPr>
              <w:t>Presswerk Bielefeld (Baujahr 1989) — Ersatzinvestition ca. 18 Mio. EUR fällig</w:t>
            </w:r>
          </w:p>
        </w:tc>
      </w:tr>
      <w:tr>
        <w:tc>
          <w:tcPr>
            <w:tcW w:type="dxa" w:w="4536"/>
          </w:tcPr>
          <w:p>
            <w:r>
              <w:rPr>
                <w:rFonts w:ascii="Times New Roman" w:hAnsi="Times New Roman"/>
                <w:sz w:val="20"/>
              </w:rPr>
              <w:t>DB-Rahmenvertrag</w:t>
            </w:r>
          </w:p>
        </w:tc>
        <w:tc>
          <w:tcPr>
            <w:tcW w:type="dxa" w:w="4536"/>
          </w:tcPr>
          <w:p>
            <w:r>
              <w:rPr>
                <w:rFonts w:ascii="Times New Roman" w:hAnsi="Times New Roman"/>
                <w:sz w:val="20"/>
              </w:rPr>
              <w:t>Nicht im Neuabschluss 2024 (TBA fehlend im neuen Rahmenvertrag)</w:t>
            </w:r>
          </w:p>
        </w:tc>
      </w:tr>
    </w:tbl>
    <w:p>
      <w:pPr>
        <w:jc w:val="left"/>
      </w:pPr>
      <w:r>
        <w:t>Die TBA-Aktionäre (Tannenheim Holding SE) haben intern beschlossen, das Bahnschwellen-Segment ohne strategischen Partner nicht fortzuführen (Ausstiegsplan). Falls GBW nicht erwirbt, sind alternative Erwerber nicht identifizierbar.</w:t>
      </w:r>
    </w:p>
    <w:p>
      <w:pPr>
        <w:pStyle w:val="Heading3"/>
      </w:pPr>
      <w:r>
        <w:rPr>
          <w:rFonts w:ascii="Times New Roman" w:hAnsi="Times New Roman"/>
        </w:rPr>
        <w:t>2.3 Bewertung der FFD</w:t>
      </w:r>
    </w:p>
    <w:p>
      <w:pPr>
        <w:jc w:val="left"/>
      </w:pPr>
      <w:r>
        <w:t>Der FFD-Nachweis für TBA ist möglich, aber schwierig:</w:t>
      </w:r>
    </w:p>
    <w:p>
      <w:pPr>
        <w:jc w:val="left"/>
      </w:pPr>
      <w:r>
        <w:rPr>
          <w:b/>
        </w:rPr>
        <w:t>Stark:</w:t>
      </w:r>
      <w:r>
        <w:t xml:space="preserve"> Finanzkennzahlen (geringe Marge, hohe Verschuldung), Investitionsrückstand, strategischer Ausstiegswille.</w:t>
      </w:r>
    </w:p>
    <w:p>
      <w:pPr>
        <w:jc w:val="left"/>
      </w:pPr>
      <w:r>
        <w:rPr>
          <w:b/>
        </w:rPr>
        <w:t>Schwach:</w:t>
      </w:r>
      <w:r>
        <w:t xml:space="preserve"> TBA ist noch nicht insolvent; ein österreichischer oder tschechischer Hersteller könnte theoretisch als Erwerber auftreten (alternative Erwerber vorhanden — Kriterium 2 nicht erfüllt).</w:t>
      </w:r>
    </w:p>
    <w:p>
      <w:pPr>
        <w:jc w:val="left"/>
      </w:pPr>
      <w:r>
        <w:t>Die Kanzlei empfiehlt, die FFD als Hilfsargument im Phase-II-Verfahren einzuführen, ohne sie als primäre Verteidigungslinie zu präsentieren. Sie ist kombinierbar mit dem Carve-out-Angebot.</w:t>
      </w:r>
    </w:p>
    <w:p/>
    <w:p>
      <w:pPr>
        <w:pStyle w:val="Heading2"/>
      </w:pPr>
      <w:r>
        <w:rPr>
          <w:rFonts w:ascii="Times New Roman" w:hAnsi="Times New Roman"/>
        </w:rPr>
        <w:t>Quellen</w:t>
      </w:r>
    </w:p>
    <w:p>
      <w:pPr>
        <w:pStyle w:val="ListBullet"/>
      </w:pPr>
      <w:r>
        <w:t>§ 36 Abs. 1 GWB: dejure.org/gesetze/GWB/36.html</w:t>
      </w:r>
    </w:p>
    <w:p>
      <w:pPr>
        <w:pStyle w:val="ListBullet"/>
      </w:pPr>
      <w:r>
        <w:t>Art. 2 Abs. 1 lit. b FKVO (Effizienz): EUR-Lex</w:t>
      </w:r>
    </w:p>
    <w:p>
      <w:pPr>
        <w:pStyle w:val="ListBullet"/>
      </w:pPr>
      <w:r>
        <w:t>Horizontalleitlinien der Kommission, Rn. 76 ff. (Effizienzen): EUR-Lex</w:t>
      </w:r>
    </w:p>
    <w:p>
      <w:pPr>
        <w:pStyle w:val="ListBullet"/>
      </w:pPr>
      <w:r>
        <w:t>Horizontalleitlinien, Rn. 89 ff. (Failing Firm):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