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ECN+-Richtlinie 2019/1 — Umsetzung und Bedeutung für das Verfahren</w:t>
      </w:r>
    </w:p>
    <w:p>
      <w:pPr>
        <w:jc w:val="left"/>
      </w:pPr>
      <w:r>
        <w:t>Datum: 25. März 2026</w:t>
      </w:r>
    </w:p>
    <w:p>
      <w:pPr>
        <w:jc w:val="left"/>
      </w:pPr>
      <w:r>
        <w:t>Bearbeiter: RAin Dr. Annette van Hove (Brüssel-Office)</w:t>
      </w:r>
    </w:p>
    <w:p>
      <w:pPr>
        <w:jc w:val="left"/>
      </w:pPr>
      <w:r>
        <w:t>Aktenzeichen: SW/2026/KA-0318 / SW/2026/KA-0319</w:t>
      </w:r>
    </w:p>
    <w:p/>
    <w:p>
      <w:pPr>
        <w:pStyle w:val="Heading2"/>
      </w:pPr>
      <w:r>
        <w:rPr>
          <w:rFonts w:ascii="Times New Roman" w:hAnsi="Times New Roman"/>
        </w:rPr>
        <w:t>1. Die ECN+-Richtlinie — Überblick</w:t>
      </w:r>
    </w:p>
    <w:p>
      <w:pPr>
        <w:jc w:val="left"/>
      </w:pPr>
      <w:r>
        <w:t>Die Richtlinie (EU) 2019/1 des Europäischen Parlaments und des Rates vom 11. Dezember 2018 zur Stärkung der Wettbewerbsbehörden der Mitgliedstaaten im Hinblick auf eine wirksamere Durchsetzung des Wettbewerbsrechts und zur Gewährleistung des reibungslosen Funktionierens des Binnenmarkts (ECN+-Richtlinie) musste bis zum 04. Februar 2021 in nationales Recht umgesetzt werden. (EUR-Lex ECN+ RL 2019/1)</w:t>
      </w:r>
    </w:p>
    <w:p>
      <w:pPr>
        <w:jc w:val="left"/>
      </w:pPr>
      <w:r>
        <w:t>Deutschland hat die ECN+-Richtlinie im Wesentlichen durch die 10. GWB-Novelle (in Kraft seit 19. Januar 2021) umgesetzt.</w:t>
      </w:r>
    </w:p>
    <w:p/>
    <w:p>
      <w:pPr>
        <w:pStyle w:val="Heading2"/>
      </w:pPr>
      <w:r>
        <w:rPr>
          <w:rFonts w:ascii="Times New Roman" w:hAnsi="Times New Roman"/>
        </w:rPr>
        <w:t>2. Relevante Regelungsbereiche für das vorliegende Mandat</w:t>
      </w:r>
    </w:p>
    <w:p>
      <w:pPr>
        <w:pStyle w:val="Heading3"/>
      </w:pPr>
      <w:r>
        <w:rPr>
          <w:rFonts w:ascii="Times New Roman" w:hAnsi="Times New Roman"/>
        </w:rPr>
        <w:t>2.1 Kronzeugenregelung — §§ 81e, 81f GWB (ECN+ Art. 17 ff.)</w:t>
      </w:r>
    </w:p>
    <w:p>
      <w:pPr>
        <w:jc w:val="left"/>
      </w:pPr>
      <w:r>
        <w:t>Die ECN+-Richtlinie harmonisiert die Kronzeugenprogramme der nationalen Wettbewerbsbehörden, um Anreize zu einheitlichen Kronzeugenerklärungen im europaweiten ECN-Verbund zu setzen.</w:t>
      </w:r>
    </w:p>
    <w:p>
      <w:pPr>
        <w:jc w:val="left"/>
      </w:pPr>
      <w:r>
        <w:t>Art. 17 ECN+ RL: Unternehmen, die als erste dem BKartA Informationen übermitteln, die (i) eine Durchsuchung erst ermöglichen oder (ii) die Beweisführung wesentlich unterstützen, erhalten Immunität (Vollerlass).</w:t>
      </w:r>
    </w:p>
    <w:p>
      <w:pPr>
        <w:jc w:val="left"/>
      </w:pPr>
      <w:r>
        <w:t>Art. 18 ECN+ RL: Weitere Kooperanten erhalten Bußgeldrabatt.</w:t>
      </w:r>
    </w:p>
    <w:p>
      <w:pPr>
        <w:jc w:val="left"/>
      </w:pPr>
      <w:r>
        <w:rPr>
          <w:b/>
        </w:rPr>
        <w:t>Bedeutsam im vorliegenden Fall:</w:t>
      </w:r>
      <w:r>
        <w:t xml:space="preserve"> Durch die Harmonisierung ist ein "Summary Application"-Verfahren möglich: Ein Unternehmen, das in einem EU-Hauptverfahren (Kommission) einen Vollerlassantrag gestellt hat, kann gleichzeitig bei nationalen Behörden der ECN-Mitglieder (hier: BKartA) eine parallele Summary Application einreichen, um die Priorität zu sichern, ohne vollständige Informationen zu offenbaren. Dies könnte relevant werden, falls die EU-Kommission das Bußgeldverfahren an sich zieht.</w:t>
      </w:r>
    </w:p>
    <w:p>
      <w:pPr>
        <w:jc w:val="left"/>
      </w:pPr>
      <w:r>
        <w:rPr>
          <w:b/>
        </w:rPr>
        <w:t>Implementierung § 81f GWB:</w:t>
      </w:r>
      <w:r>
        <w:t xml:space="preserve"> Das BKartA kann unter bestimmten Voraussetzungen Informationen aus dem Kronzeugenverfahren mit anderen ECN-Mitgliedern austauschen (Art. 22 ECN+ RL) — dies schränkt die Schutzerwartung der Mandantin ein; sie muss davon ausgehen, dass Informationen an andere EU-Behörden weitergegeben werden.</w:t>
      </w:r>
    </w:p>
    <w:p>
      <w:pPr>
        <w:pStyle w:val="Heading3"/>
      </w:pPr>
      <w:r>
        <w:rPr>
          <w:rFonts w:ascii="Times New Roman" w:hAnsi="Times New Roman"/>
        </w:rPr>
        <w:t>2.2 Bußgeldbemessung — § 81 Abs. 4a, 4b GWB (ECN+ Art. 13)</w:t>
      </w:r>
    </w:p>
    <w:p>
      <w:pPr>
        <w:jc w:val="left"/>
      </w:pPr>
      <w:r>
        <w:t>Die ECN+-Richtlinie verpflichtet die nationalen Behörden, bei der Bußgeldbemessung den weltweiten Konzernumsatz zugrunde zu legen und Bußgeldobergrenzen von mindestens 10 % des Gesamtumsatzes vorzusehen. Dies war in Deutschland bereits vor der Richtlinie so geregelt, wird durch § 81 Abs. 4 GWB bestätigt. (dejure.org/gesetze/GWB/81.html)</w:t>
      </w:r>
    </w:p>
    <w:p>
      <w:pPr>
        <w:jc w:val="left"/>
      </w:pPr>
      <w:r>
        <w:rPr>
          <w:b/>
        </w:rPr>
        <w:t>Neu durch ECN+:</w:t>
      </w:r>
      <w:r>
        <w:t xml:space="preserve"> § 81 Abs. 4b GWB — Behörde kann bei Wiederholungstätern ("Vielstraftätern") den Bußgeldrahmen erhöhen.</w:t>
      </w:r>
    </w:p>
    <w:p>
      <w:pPr>
        <w:pStyle w:val="Heading3"/>
      </w:pPr>
      <w:r>
        <w:rPr>
          <w:rFonts w:ascii="Times New Roman" w:hAnsi="Times New Roman"/>
        </w:rPr>
        <w:t>2.3 Einstweilige Maßnahmen — § 32a GWB (ECN+ Art. 11)</w:t>
      </w:r>
    </w:p>
    <w:p>
      <w:pPr>
        <w:jc w:val="left"/>
      </w:pPr>
      <w:r>
        <w:t>Die ECN+-Richtlinie stärkt die Befugnis der Wettbewerbsbehörden, einstweilige Maßnahmen anzuordnen, wenn eine schwerwiegende und nicht wiedergutzumachende Schädigung des Wettbewerbs droht. Art. 11 ECN+ RL hat den Maßstab für einstweilige Maßnahmen harmonisiert.</w:t>
      </w:r>
    </w:p>
    <w:p>
      <w:pPr>
        <w:jc w:val="left"/>
      </w:pPr>
      <w:r>
        <w:t>§ 32a GWB ist durch die 10. GWB-Novelle klarer gefasst worden. (dejure.org/gesetze/GWB/32a.html) Im vorliegenden Fall ist § 32a GWB theoretisch einschlägig, wenn das Vollzugsverbot (§ 41 GWB) verletzt würde — die Mandantin wurde auf das Vollzugsverbot ausdrücklich hingewiesen (s. Aktenstück 08).</w:t>
      </w:r>
    </w:p>
    <w:p>
      <w:pPr>
        <w:pStyle w:val="Heading3"/>
      </w:pPr>
      <w:r>
        <w:rPr>
          <w:rFonts w:ascii="Times New Roman" w:hAnsi="Times New Roman"/>
        </w:rPr>
        <w:t>2.4 Auskunftsrechte und Selbstbelastungsverbot — § 59 GWB (ECN+ Art. 8)</w:t>
      </w:r>
    </w:p>
    <w:p>
      <w:pPr>
        <w:jc w:val="left"/>
      </w:pPr>
      <w:r>
        <w:t>Art. 8 ECN+ RL schützt das Recht auf Nicht-Selbstbelastung auch im kartellbehördlichen Verfahren. § 59 GWB gewährt dem BKartA weitgehende Auskunftsrechte; § 59 Abs. 4 GWB schränkt diese ein, soweit Auskünfte zu einer Strafverfolgung des Auskunftspflichtigen führen würden. (dejure.org/gesetze/GWB/59.html)</w:t>
      </w:r>
    </w:p>
    <w:p>
      <w:pPr>
        <w:jc w:val="left"/>
      </w:pPr>
      <w:r>
        <w:rPr>
          <w:b/>
        </w:rPr>
        <w:t>Praxisrelevanz:</w:t>
      </w:r>
      <w:r>
        <w:t xml:space="preserve"> GBW muss im Bußgeldverfahren Auskünfte zu Marktstrukturen geben, kann aber Auskünfte über eigene Tatbeiträge (auf Basis des nemo-tenetur-Grundsatzes) verweigern. Die Grenze ist fließend und muss im Einzelfall anwaltlich begleitet werden.</w:t>
      </w:r>
    </w:p>
    <w:p/>
    <w:p>
      <w:pPr>
        <w:pStyle w:val="Heading2"/>
      </w:pPr>
      <w:r>
        <w:rPr>
          <w:rFonts w:ascii="Times New Roman" w:hAnsi="Times New Roman"/>
        </w:rPr>
        <w:t>3. Bedeutung des ECN-Netzwerks für die Verfahrenskoordination</w:t>
      </w:r>
    </w:p>
    <w:p>
      <w:pPr>
        <w:jc w:val="left"/>
      </w:pPr>
      <w:r>
        <w:t>Das Netzwerk der Europäischen Wettbewerbsbehörden (ECN) umfasst die Kommission und alle nationalen Wettbewerbsbehörden der EU-Mitgliedstaaten. Im vorliegenden Fall:</w:t>
      </w:r>
    </w:p>
    <w:p>
      <w:pPr>
        <w:pStyle w:val="ListBullet"/>
      </w:pPr>
      <w:r>
        <w:t>BKartA hat das Zusammenschlussverfahren an die Kommission verwiesen (Art. 22 FKVO)</w:t>
      </w:r>
    </w:p>
    <w:p>
      <w:pPr>
        <w:pStyle w:val="ListBullet"/>
      </w:pPr>
      <w:r>
        <w:t>Niederlande und Belgien (ACM, Belgischer Wettbewerbsrat) sind dem Verweisungsantrag beigetreten</w:t>
      </w:r>
    </w:p>
    <w:p>
      <w:pPr>
        <w:pStyle w:val="ListBullet"/>
      </w:pPr>
      <w:r>
        <w:t>Die drei Behörden tauschen im Rahmen des ECN Informationen zur Marktbefragung aus</w:t>
      </w:r>
    </w:p>
    <w:p>
      <w:pPr>
        <w:jc w:val="left"/>
      </w:pPr>
      <w:r>
        <w:t>Die ECN+-Richtlinie hat die Informationsaustauschregeln für das Kartellverfahren gestärkt (Art. 22 ECN+ RL). Für das Fusionskontrollverfahren gelten die Spezialregeln der FKVO (Art. 19 f. FKVO).</w:t>
      </w:r>
    </w:p>
    <w:p/>
    <w:p>
      <w:pPr>
        <w:pStyle w:val="Heading2"/>
      </w:pPr>
      <w:r>
        <w:rPr>
          <w:rFonts w:ascii="Times New Roman" w:hAnsi="Times New Roman"/>
        </w:rPr>
        <w:t>4. Umsetzungsdefizite und offene Fragen</w:t>
      </w:r>
    </w:p>
    <w:p>
      <w:pPr>
        <w:jc w:val="left"/>
      </w:pPr>
      <w:r>
        <w:t>Die 10. GWB-Novelle wurde als weitgehend richtlinienkonform beurteilt (BKartA-Jahresbericht 2021). Gleichwohl bestehen offene Fragen:</w:t>
      </w:r>
    </w:p>
    <w:p>
      <w:pPr>
        <w:pStyle w:val="ListBullet"/>
      </w:pPr>
      <w:r>
        <w:t>Vereinbarkeit des deutschen Bußgeldregimes (Verbandsgeldsanktion § 30 OWiG) mit dem ECN+-Konzept der "Unternehmensverantwortlichkeit" (Art. 2 Nr. 1 ECN+ RL) — Gegenstand akademischer Debatte.</w:t>
      </w:r>
    </w:p>
    <w:p>
      <w:pPr>
        <w:pStyle w:val="ListBullet"/>
      </w:pPr>
      <w:r>
        <w:t>Reichweite des Kronzeugenschutzes bei Follow-on-Schadensersatzklagen: § 33g GWB ist richtlinienkonform ausgestaltet (RL 2014/104/EU), aber die Praxis zeigt Grenzfälle.</w:t>
      </w:r>
    </w:p>
    <w:p/>
    <w:p>
      <w:pPr>
        <w:pStyle w:val="Heading2"/>
      </w:pPr>
      <w:r>
        <w:rPr>
          <w:rFonts w:ascii="Times New Roman" w:hAnsi="Times New Roman"/>
        </w:rPr>
        <w:t>Quellen</w:t>
      </w:r>
    </w:p>
    <w:p>
      <w:pPr>
        <w:pStyle w:val="ListBullet"/>
      </w:pPr>
      <w:r>
        <w:t>ECN+-Richtlinie 2019/1: EUR-Lex</w:t>
      </w:r>
    </w:p>
    <w:p>
      <w:pPr>
        <w:pStyle w:val="ListBullet"/>
      </w:pPr>
      <w:r>
        <w:t>§ 81e GWB (Kronzeuge): dejure.org/gesetze/GWB/81e.html</w:t>
      </w:r>
    </w:p>
    <w:p>
      <w:pPr>
        <w:pStyle w:val="ListBullet"/>
      </w:pPr>
      <w:r>
        <w:t>§ 59 GWB (Auskunft): dejure.org/gesetze/GWB/59.html</w:t>
      </w:r>
    </w:p>
    <w:p>
      <w:pPr>
        <w:pStyle w:val="ListBullet"/>
      </w:pPr>
      <w:r>
        <w:t>§ 32a GWB (einstweilige Maßnahmen): dejure.org/gesetze/GWB/32a.html</w:t>
      </w:r>
    </w:p>
    <w:p>
      <w:pPr>
        <w:pStyle w:val="ListBullet"/>
      </w:pPr>
      <w:r>
        <w:t>Art. 22 FKVO 139/2004: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