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Einigung, Milestones und Freigabeszenarien</w:t>
      </w:r>
    </w:p>
    <w:p>
      <w:pPr>
        <w:jc w:val="left"/>
      </w:pPr>
      <w:r>
        <w:t>Datum: 12. August 2026</w:t>
      </w:r>
    </w:p>
    <w:p>
      <w:pPr>
        <w:jc w:val="left"/>
      </w:pPr>
      <w:r>
        <w:t>Bearbeiter: Prof. Dr. Cornelius Friedrich Schwertbeck, RAin Dr. Annette van Hove</w:t>
      </w:r>
    </w:p>
    <w:p>
      <w:pPr>
        <w:jc w:val="left"/>
      </w:pPr>
      <w:r>
        <w:t>Aktenzeichen: SW/2026/KA-0318 | EU COMP M.92188</w:t>
      </w:r>
    </w:p>
    <w:p/>
    <w:p>
      <w:pPr>
        <w:pStyle w:val="Heading2"/>
      </w:pPr>
      <w:r>
        <w:rPr>
          <w:rFonts w:ascii="Times New Roman" w:hAnsi="Times New Roman"/>
        </w:rPr>
        <w:t>1. Verfahrensstand per 12. August 2026</w:t>
      </w:r>
    </w:p>
    <w:p>
      <w:pPr>
        <w:jc w:val="left"/>
      </w:pPr>
      <w:r>
        <w:t>Die EU-Kommission befindet sich im Phase-II-Verfahren (Stand: 69. Arbeitstag von 90). Das Statement of Objections (SO) wurde am 14. Juli 2026 versandt. Die schriftliche Stellungnahme von GBW wurde am 28. Juli 2026 eingereicht; die mündliche Anhörung fand am 05. August 2026 in Brüssel statt.</w:t>
      </w:r>
    </w:p>
    <w:p>
      <w:pPr>
        <w:jc w:val="left"/>
      </w:pPr>
      <w:r>
        <w:t>Die Kommission hat in der mündlichen Anhörung signalisiert, dass sie den Carve-out Bielefeld als potentiell ausreichende Abhilfemaßnahme betrachtet, wenn ein geeigneter Erwerber identifiziert wird. Dies ist das positive Signal, auf das GBW gewartet hat.</w:t>
      </w:r>
    </w:p>
    <w:p/>
    <w:p>
      <w:pPr>
        <w:pStyle w:val="Heading2"/>
      </w:pPr>
      <w:r>
        <w:rPr>
          <w:rFonts w:ascii="Times New Roman" w:hAnsi="Times New Roman"/>
        </w:rPr>
        <w:t>2. Verpflichtungsangebot (Remedies) — Stand</w:t>
      </w:r>
    </w:p>
    <w:p>
      <w:pPr>
        <w:jc w:val="left"/>
      </w:pPr>
      <w:r>
        <w:t>Am 03. August 2026 (65. Arbeitstag) reichte GBW formal das Verpflichtungsangebot bei der Kommission ein:</w:t>
      </w:r>
    </w:p>
    <w:p>
      <w:pPr>
        <w:pStyle w:val="Heading3"/>
      </w:pPr>
      <w:r>
        <w:rPr>
          <w:rFonts w:ascii="Times New Roman" w:hAnsi="Times New Roman"/>
        </w:rPr>
        <w:t>2.1 Kerninhalt des Angebots</w:t>
      </w:r>
    </w:p>
    <w:p>
      <w:pPr>
        <w:pStyle w:val="ListNumber"/>
      </w:pPr>
      <w:r>
        <w:rPr>
          <w:b/>
        </w:rPr>
        <w:t>Veräußerung Bielefelder Werk:</w:t>
      </w:r>
      <w:r>
        <w:t xml:space="preserve"> Vollständige Übertragung des Produktionswerks TBA Bielefeld (Detmolder Straße 840) inkl. Grundstück, Maschinen, 94 Mitarbeiter, Fertigungslizenzen an einen genehmigten Erwerber.</w:t>
      </w:r>
    </w:p>
    <w:p>
      <w:pPr>
        <w:pStyle w:val="ListNumber"/>
      </w:pPr>
      <w:r>
        <w:rPr>
          <w:b/>
        </w:rPr>
        <w:t>Erwerber:</w:t>
      </w:r>
      <w:r>
        <w:t xml:space="preserve"> Vorgeschlagener Erwerber: Adlerstein Beton AG (Wien, Österreich) — führender österreichischer Bahnschwellenhersteller mit bestehender DB-Voranmeldung für Lieferantenzulassung.</w:t>
      </w:r>
    </w:p>
    <w:p>
      <w:pPr>
        <w:pStyle w:val="ListNumber"/>
      </w:pPr>
      <w:r>
        <w:rPr>
          <w:b/>
        </w:rPr>
        <w:t>Hold-separate-Verpflichtung:</w:t>
      </w:r>
      <w:r>
        <w:t xml:space="preserve"> Bis zum Vollzug der Veräußerung führt GBW das Bielefelder Werk wirtschaftlich getrennt und unabhängig weiter (Hold Separate Manager, Monitoring Trustee).</w:t>
      </w:r>
    </w:p>
    <w:p>
      <w:pPr>
        <w:pStyle w:val="ListNumber"/>
      </w:pPr>
      <w:r>
        <w:rPr>
          <w:b/>
        </w:rPr>
        <w:t>Zeitrahmen Veräußerung:</w:t>
      </w:r>
      <w:r>
        <w:t xml:space="preserve"> Abschluss innerhalb von 9 Monaten nach Freigabeentscheidung (mit Option auf Verlängerung um 3 Monate durch Trustee).</w:t>
      </w:r>
    </w:p>
    <w:p>
      <w:pPr>
        <w:pStyle w:val="ListNumber"/>
      </w:pPr>
      <w:r>
        <w:rPr>
          <w:b/>
        </w:rPr>
        <w:t>Ergänzend:</w:t>
      </w:r>
      <w:r>
        <w:t xml:space="preserve"> Transitional Supply Agreement: GBW liefert für 18 Monate als Subkontrahent an Adlerstein für bestehende TBA-Rahmenlieferverpflichtungen.</w:t>
      </w:r>
    </w:p>
    <w:p>
      <w:pPr>
        <w:pStyle w:val="Heading3"/>
      </w:pPr>
      <w:r>
        <w:rPr>
          <w:rFonts w:ascii="Times New Roman" w:hAnsi="Times New Roman"/>
        </w:rPr>
        <w:t>2.2 Monitoring Trustee</w:t>
      </w:r>
    </w:p>
    <w:p>
      <w:pPr>
        <w:jc w:val="left"/>
      </w:pPr>
      <w:r>
        <w:t>Als Monitoring Trustee ist PricewaterhouseCoopers GmbH WPG (Frankfurt) mandatiert. Aufgaben:</w:t>
      </w:r>
    </w:p>
    <w:p>
      <w:pPr>
        <w:pStyle w:val="ListBullet"/>
      </w:pPr>
      <w:r>
        <w:t>Überwachung der Hold-separate-Pflicht bis zum Vollzug der Veräußerung</w:t>
      </w:r>
    </w:p>
    <w:p>
      <w:pPr>
        <w:pStyle w:val="ListBullet"/>
      </w:pPr>
      <w:r>
        <w:t>Regelmäßige Berichte an die Kommission (monatlich)</w:t>
      </w:r>
    </w:p>
    <w:p>
      <w:pPr>
        <w:pStyle w:val="ListBullet"/>
      </w:pPr>
      <w:r>
        <w:t>Befugnis zur Einberufung von Notfallsitzungen bei Pflichtverletzungen</w:t>
      </w:r>
    </w:p>
    <w:p/>
    <w:p>
      <w:pPr>
        <w:pStyle w:val="Heading2"/>
      </w:pPr>
      <w:r>
        <w:rPr>
          <w:rFonts w:ascii="Times New Roman" w:hAnsi="Times New Roman"/>
        </w:rPr>
        <w:t>3. Markttest der Kommission (06.–20. August 2026)</w:t>
      </w:r>
    </w:p>
    <w:p>
      <w:pPr>
        <w:jc w:val="left"/>
      </w:pPr>
      <w:r>
        <w:t>Die Kommission hat den Markttest zu den Verpflichtungen durchgeführt. Rückmeldungen (nicht-vertraulich):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Befragter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Rückmeldung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DB InfraGO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Positiv — Adlerstein als neuer Anbieter begrüßt; Anforderung langfristige Preisklausel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Rehme Bahnbau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Neutral — kein Einwand gegen Adlerstein; eigener Marktanteil bleibt stabil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Schienenwerk Lausitz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Positiv — sieht Chancen für eigene Expansion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ProRail (NL)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Neutral — Adlerstein kein NL-Anbieter; eigene Ausschreibungen nicht betroffen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ACM (Niederlande)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Zustimmend — NL-Markt nicht kritisch betroffen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Freigabeszenarien</w:t>
      </w:r>
    </w:p>
    <w:p>
      <w:pPr>
        <w:pStyle w:val="Heading3"/>
      </w:pPr>
      <w:r>
        <w:rPr>
          <w:rFonts w:ascii="Times New Roman" w:hAnsi="Times New Roman"/>
        </w:rPr>
        <w:t>4.1 Szenario 1: Freigabe mit Verpflichtungen (Wahrscheinlichkeit: 70 %)</w:t>
      </w:r>
    </w:p>
    <w:p>
      <w:pPr>
        <w:jc w:val="left"/>
      </w:pPr>
      <w:r>
        <w:t>Die Kommission erteilt die Freigabe gemäß Art. 8 Abs. 2 FKVO vorbehaltlich der Erfüllung der eingereichten Verpflichtungen. Genehmigter Erwerber: Adlerstein Beton AG. Freigabe erwartet: ca. 25. September 2026.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Vollzug SPA GBW / TBA (Closing)</w:t>
      </w:r>
    </w:p>
    <w:p>
      <w:pPr>
        <w:pStyle w:val="ListBullet"/>
      </w:pPr>
      <w:r>
        <w:t>Veräußerung Bielefeld an Adlerstein (bis Juni 2027)</w:t>
      </w:r>
    </w:p>
    <w:p>
      <w:pPr>
        <w:pStyle w:val="ListBullet"/>
      </w:pPr>
      <w:r>
        <w:t>Monitoring Trustee überwacht 24 Monate</w:t>
      </w:r>
    </w:p>
    <w:p>
      <w:pPr>
        <w:pStyle w:val="Heading3"/>
      </w:pPr>
      <w:r>
        <w:rPr>
          <w:rFonts w:ascii="Times New Roman" w:hAnsi="Times New Roman"/>
        </w:rPr>
        <w:t>4.2 Szenario 2: Freigabe ohne Verpflichtungen (Wahrscheinlichkeit: 5 %)</w:t>
      </w:r>
    </w:p>
    <w:p>
      <w:pPr>
        <w:jc w:val="left"/>
      </w:pPr>
      <w:r>
        <w:t>Unwahrscheinlich angesichts des Marktanteils von 57 %. Würde nur eintreten bei wesentlich veränderter Marktabgrenzung.</w:t>
      </w:r>
    </w:p>
    <w:p>
      <w:pPr>
        <w:pStyle w:val="Heading3"/>
      </w:pPr>
      <w:r>
        <w:rPr>
          <w:rFonts w:ascii="Times New Roman" w:hAnsi="Times New Roman"/>
        </w:rPr>
        <w:t>4.3 Szenario 3: Nachverhandlung Verpflichtungen (Wahrscheinlichkeit: 20 %)</w:t>
      </w:r>
    </w:p>
    <w:p>
      <w:pPr>
        <w:jc w:val="left"/>
      </w:pPr>
      <w:r>
        <w:t>Kommission verlangt Ergänzungen (z. B. Verhaltensverpflichtungen gegenüber DB InfraGO, erweiterte Transitional Supply Terms). GBW ist bereit, diese zu akzeptieren.</w:t>
      </w:r>
    </w:p>
    <w:p>
      <w:pPr>
        <w:pStyle w:val="Heading3"/>
      </w:pPr>
      <w:r>
        <w:rPr>
          <w:rFonts w:ascii="Times New Roman" w:hAnsi="Times New Roman"/>
        </w:rPr>
        <w:t>4.4 Szenario 4: Untersagung (Wahrscheinlichkeit: 5 %)</w:t>
      </w:r>
    </w:p>
    <w:p>
      <w:pPr>
        <w:jc w:val="left"/>
      </w:pPr>
      <w:r>
        <w:t>Falls der Markttest zeigt, dass Adlerstein als Erwerber nicht geeignet ist und kein alternativer Erwerber gefunden werden kann. In diesem Fall: Rückzug SPA oder Suche nach Alternativerwerber.</w:t>
      </w:r>
    </w:p>
    <w:p/>
    <w:p>
      <w:pPr>
        <w:pStyle w:val="Heading2"/>
      </w:pPr>
      <w:r>
        <w:rPr>
          <w:rFonts w:ascii="Times New Roman" w:hAnsi="Times New Roman"/>
        </w:rPr>
        <w:t>5. Milestones bis 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Verpflichtungsangebot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06.–20.08.2026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Markttest Kommission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Überarbeitung Verpflichtungen (75. 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Erwartete Freigabeentscheidung (90. 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SPA GBW/TBA (aufschiebende Bedingung erfüllt)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Juni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Vollzug Carve-out Bielefeld → Adlerstein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 Oktober 2028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Monitoring-Zeitraum abgeschlossen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Bußgeldverfahren — Stand parallel</w:t>
      </w:r>
    </w:p>
    <w:p>
      <w:pPr>
        <w:jc w:val="left"/>
      </w:pPr>
      <w:r>
        <w:t>Das BKartA-Verfahren B6-56/22 läuft weiterhin. GBW hat am 24. April 2026 einen Kronzeugenantrag gemäß § 81e Abs. 2 GWB gestellt. GBW ist zweiter Antragsteller (Rehme hatte am 19. April 2026 einen Vollerlass-Antrag eingereicht). GBW rechnet mit einem Bußgeldrabatt von 30–50 %.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Art. 8 Abs. 2 FKVO 139/2004 (Freigabe mit Auflagen): EUR-Lex</w:t>
      </w:r>
    </w:p>
    <w:p>
      <w:pPr>
        <w:pStyle w:val="ListBullet"/>
      </w:pPr>
      <w:r>
        <w:t>Bekanntmachung Kommission über Abhilfemaßnahmen (ABl. C 267/1, 22.10.2008): EUR-Lex</w:t>
      </w:r>
    </w:p>
    <w:p>
      <w:pPr>
        <w:pStyle w:val="ListBullet"/>
      </w:pPr>
      <w:r>
        <w:t>§ 36 GWB: dejure.org/gesetze/GWB/36.html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