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Öffentlichkeitskommunikation und Pressemitteilung</w:t>
      </w:r>
    </w:p>
    <w:p>
      <w:pPr>
        <w:jc w:val="left"/>
      </w:pPr>
      <w:r>
        <w:t>Datum: 16. März 2026 (initial) / 25. September 2026 (Freigabe)</w:t>
      </w:r>
    </w:p>
    <w:p>
      <w:pPr>
        <w:jc w:val="left"/>
      </w:pPr>
      <w:r>
        <w:t>Bearbeiter: Prof. Dr. Cornelius Friedrich Schwertbeck (Pressestrategie), GBW Unternehmenskommunikation</w:t>
      </w:r>
    </w:p>
    <w:p>
      <w:pPr>
        <w:jc w:val="left"/>
      </w:pPr>
      <w:r>
        <w:t>Aktenzeichen: SW/2026/KA-0318</w:t>
      </w:r>
    </w:p>
    <w:p/>
    <w:p>
      <w:pPr>
        <w:pStyle w:val="Heading2"/>
      </w:pPr>
      <w:r>
        <w:rPr>
          <w:rFonts w:ascii="Times New Roman" w:hAnsi="Times New Roman"/>
        </w:rPr>
        <w:t>1. Kommunikationsstrategie — Grundsätze</w:t>
      </w:r>
    </w:p>
    <w:p>
      <w:pPr>
        <w:jc w:val="left"/>
      </w:pPr>
      <w:r>
        <w:t>Fusionskontrollverfahren sind öffentliche Verfahren. Anmeldungen beim BKartA werden im BKartA-Fallblatt und auf der BKartA-Website veröffentlicht; EU-Fusionskontrollverfahren werden im Amtsblatt bekannt gemacht (Art. 4 Abs. 3 FKVO). Eine vollständige Medienabschirmung ist nicht möglich.</w:t>
      </w:r>
    </w:p>
    <w:p>
      <w:pPr>
        <w:jc w:val="left"/>
      </w:pPr>
      <w:r>
        <w:t>Die Kommunikationsstrategie der Mandantin verfolgt drei Ziele:</w:t>
      </w:r>
    </w:p>
    <w:p>
      <w:pPr>
        <w:pStyle w:val="ListNumber"/>
      </w:pPr>
      <w:r>
        <w:rPr>
          <w:b/>
        </w:rPr>
        <w:t>Narrative Kontrolle:</w:t>
      </w:r>
      <w:r>
        <w:t xml:space="preserve"> GBW gestaltet aktiv das Bild des Zusammenschlusses in der Öffentlichkeit, bevor Dritte (Wettbewerber, DB AG, Gewerkschaften) das Narrativ besetzen.</w:t>
      </w:r>
    </w:p>
    <w:p>
      <w:pPr>
        <w:pStyle w:val="ListNumber"/>
      </w:pPr>
      <w:r>
        <w:rPr>
          <w:b/>
        </w:rPr>
        <w:t>Mitarbeiter-Sicherheit:</w:t>
      </w:r>
      <w:r>
        <w:t xml:space="preserve"> Frühzeitige, ehrliche Kommunikation an die 282 Mitarbeitern (188 GBW + 94 TBA) verhindert Unruhe und Kündigungswellen.</w:t>
      </w:r>
    </w:p>
    <w:p>
      <w:pPr>
        <w:pStyle w:val="ListNumber"/>
      </w:pPr>
      <w:r>
        <w:rPr>
          <w:b/>
        </w:rPr>
        <w:t>Kundenpflege:</w:t>
      </w:r>
      <w:r>
        <w:t xml:space="preserve"> DB InfraGO AG, ProRail und andere Abnehmer werden proaktiv und direkt informiert, bevor sie über Presse oder Behörden Kenntnis erlangen.</w:t>
      </w:r>
    </w:p>
    <w:p/>
    <w:p>
      <w:pPr>
        <w:pStyle w:val="Heading2"/>
      </w:pPr>
      <w:r>
        <w:rPr>
          <w:rFonts w:ascii="Times New Roman" w:hAnsi="Times New Roman"/>
        </w:rPr>
        <w:t>2. Phasen der Kommunikation</w:t>
      </w:r>
    </w:p>
    <w:p>
      <w:pPr>
        <w:pStyle w:val="Heading3"/>
      </w:pPr>
      <w:r>
        <w:rPr>
          <w:rFonts w:ascii="Times New Roman" w:hAnsi="Times New Roman"/>
        </w:rPr>
        <w:t>2.1 Signing-Kommunikation (15. März 2026)</w:t>
      </w:r>
    </w:p>
    <w:p>
      <w:pPr>
        <w:jc w:val="left"/>
      </w:pPr>
      <w:r>
        <w:rPr>
          <w:b/>
        </w:rPr>
        <w:t>Pressemitteilung GBW / TBA (Entwurf):</w:t>
      </w:r>
    </w:p>
    <w:p>
      <w:pPr>
        <w:ind w:left="567"/>
      </w:pPr>
      <w:r>
        <w:rPr>
          <w:b/>
          <w:i/>
        </w:rPr>
        <w:t>Grosskopf Betonwerk Westfalen GmbH übernimmt Tannenheim Betonelemente AG — Stärkung des deutschen Bahninfrastruktur-Sektors</w:t>
      </w:r>
    </w:p>
    <w:p>
      <w:pPr>
        <w:ind w:left="567"/>
      </w:pPr>
    </w:p>
    <w:p>
      <w:pPr>
        <w:ind w:left="567"/>
      </w:pPr>
      <w:r>
        <w:rPr>
          <w:i/>
        </w:rPr>
        <w:t>Münster / Bielefeld, 15. März 2026 — Die Grosskopf Betonwerk Westfalen GmbH (GBW), führender Hersteller von Spannbetonschwellen für den Bahnsektor mit Sitz in Münster, hat heute eine Vereinbarung über den Erwerb aller Aktien der Tannenheim Betonelemente AG, Bielefeld, unterzeichnet. Der Vollzug der Transaktion steht unter dem Vorbehalt der kartellrechtlichen Freigabe.</w:t>
      </w:r>
    </w:p>
    <w:p>
      <w:pPr>
        <w:ind w:left="567"/>
      </w:pPr>
    </w:p>
    <w:p>
      <w:pPr>
        <w:ind w:left="567"/>
      </w:pPr>
      <w:r>
        <w:rPr>
          <w:i/>
        </w:rPr>
        <w:t>"Mit dieser Übernahme bündeln wir deutsches Know-how in der Bahninfrastruktur und stärken unsere Fähigkeit, die Modernisierung des deutschen Schienennetzes zu unterstützen", erklärte Geschäftsführer Markus Grosskopf-Hartmann. "Wir sind überzeugt, dass wir durch Effizienzgewinne und gebündeltes Fachwissen einen besseren Service für unsere Kunden erbringen können."</w:t>
      </w:r>
    </w:p>
    <w:p>
      <w:pPr>
        <w:ind w:left="567"/>
      </w:pPr>
    </w:p>
    <w:p>
      <w:pPr>
        <w:ind w:left="567"/>
      </w:pPr>
      <w:r>
        <w:rPr>
          <w:i/>
        </w:rPr>
        <w:t>GBW und TBA werden das Verfahren proaktiv und transparent begleiten. Bis zur Freigabe werden beide Unternehmen vollständig unabhängig voneinander operieren (Vollzugsverbot).</w:t>
      </w:r>
    </w:p>
    <w:p>
      <w:pPr>
        <w:jc w:val="left"/>
      </w:pPr>
      <w:r>
        <w:rPr>
          <w:b/>
        </w:rPr>
        <w:t>Intern: Mitarbeiterschreiben</w:t>
      </w:r>
      <w:r>
        <w:t xml:space="preserve"> (parallel)</w:t>
      </w:r>
    </w:p>
    <w:p>
      <w:pPr>
        <w:jc w:val="left"/>
      </w:pPr>
      <w:r>
        <w:t>An alle GBW-Mitarbeitern (188):</w:t>
      </w:r>
    </w:p>
    <w:p>
      <w:pPr>
        <w:jc w:val="left"/>
      </w:pPr>
      <w:r>
        <w:t>Kanzlei entwirft in Abstimmung mit GBW-Personalabteilung; Inhalt: Transaktion, Vollzugsverbot, keine unmittelbaren Änderungen, offene Fragen an Betriebsrat wenden.</w:t>
      </w:r>
    </w:p>
    <w:p>
      <w:pPr>
        <w:jc w:val="left"/>
      </w:pPr>
      <w:r>
        <w:t>An alle TBA-Mitarbeitern (94):</w:t>
      </w:r>
    </w:p>
    <w:p>
      <w:pPr>
        <w:jc w:val="left"/>
      </w:pPr>
      <w:r>
        <w:t>Getrennte Kommunikation durch TBA-Management; Inhalt: Übernahme als strategische Chance, Arbeitsplätze bleiben (soweit durch Closing bedingte Restrukturierungsfreiheit gilt).</w:t>
      </w:r>
    </w:p>
    <w:p/>
    <w:p>
      <w:pPr>
        <w:pStyle w:val="Heading3"/>
      </w:pPr>
      <w:r>
        <w:rPr>
          <w:rFonts w:ascii="Times New Roman" w:hAnsi="Times New Roman"/>
        </w:rPr>
        <w:t>2.2 Phase-II-Eröffnung (05. Mai 2026)</w:t>
      </w:r>
    </w:p>
    <w:p>
      <w:pPr>
        <w:jc w:val="left"/>
      </w:pPr>
      <w:r>
        <w:t>Die Kommission veröffentlicht die Phase-II-Entscheidung im Amtsblatt. GBW gibt dazu eine knappe Pressemitteilung heraus:</w:t>
      </w:r>
    </w:p>
    <w:p>
      <w:pPr>
        <w:ind w:left="567"/>
      </w:pPr>
      <w:r>
        <w:rPr>
          <w:i/>
        </w:rPr>
        <w:t>"GBW begrüßt die eingehende Prüfung durch die Europäische Kommission. Wir sind überzeugt, dass das Vorhaben nach vollständiger Prüfung genehmigt wird, und kooperieren vollständig mit den Behörden."</w:t>
      </w:r>
    </w:p>
    <w:p>
      <w:pPr>
        <w:jc w:val="left"/>
      </w:pPr>
      <w:r>
        <w:rPr>
          <w:b/>
        </w:rPr>
        <w:t>Keine Aussagen:</w:t>
      </w:r>
      <w:r>
        <w:t xml:space="preserve"> zu Marktanteilen, Preisentwicklungen oder zum laufenden Bußgeldvorverfahren.</w:t>
      </w:r>
    </w:p>
    <w:p/>
    <w:p>
      <w:pPr>
        <w:pStyle w:val="Heading3"/>
      </w:pPr>
      <w:r>
        <w:rPr>
          <w:rFonts w:ascii="Times New Roman" w:hAnsi="Times New Roman"/>
        </w:rPr>
        <w:t>2.3 Freigabe-Kommunikation (geplant: 25. September 2026)</w:t>
      </w:r>
    </w:p>
    <w:p>
      <w:pPr>
        <w:jc w:val="left"/>
      </w:pPr>
      <w:r>
        <w:t>Pressemitteilung nach Freigabeentscheidung:</w:t>
      </w:r>
    </w:p>
    <w:p>
      <w:pPr>
        <w:ind w:left="567"/>
      </w:pPr>
      <w:r>
        <w:rPr>
          <w:b/>
          <w:i/>
        </w:rPr>
        <w:t>EU-Kommission genehmigt Übernahme der Tannenheim Betonelemente AG durch GBW</w:t>
      </w:r>
    </w:p>
    <w:p>
      <w:pPr>
        <w:ind w:left="567"/>
      </w:pPr>
    </w:p>
    <w:p>
      <w:pPr>
        <w:ind w:left="567"/>
      </w:pPr>
      <w:r>
        <w:rPr>
          <w:i/>
        </w:rPr>
        <w:t>Die Europäische Kommission hat heute die Übernahme der Tannenheim Betonelemente AG durch die Grosskopf Betonwerk Westfalen GmbH freigegeben. Im Rahmen der genehmigten Abhilfemaßnahmen wird das Bielefelder Produktionswerk von TBA an die Adlerstein Beton AG, Wien, veräußert. Damit entsteht in Deutschland ein neuer unabhängiger Wettbewerber für Spannbetonschwellen.</w:t>
      </w:r>
    </w:p>
    <w:p>
      <w:pPr>
        <w:ind w:left="567"/>
      </w:pPr>
    </w:p>
    <w:p>
      <w:pPr>
        <w:ind w:left="567"/>
      </w:pPr>
      <w:r>
        <w:rPr>
          <w:i/>
        </w:rPr>
        <w:t>"Wir freuen uns über die Freigabe und akzeptieren die vereinbarten Auflagen. Das Bielefelder Werk wird unter Adlerstein-Führung als eigenständiger Wettbewerber erhalten bleiben — das ist gut für den deutschen Bahnsektor und sichert alle Arbeitsplätze", so Grosskopf-Hartmann.</w:t>
      </w:r>
    </w:p>
    <w:p/>
    <w:p>
      <w:pPr>
        <w:pStyle w:val="Heading2"/>
      </w:pPr>
      <w:r>
        <w:rPr>
          <w:rFonts w:ascii="Times New Roman" w:hAnsi="Times New Roman"/>
        </w:rPr>
        <w:t>3. Besondere Kommunikationssensitivitäten</w:t>
      </w:r>
    </w:p>
    <w:p>
      <w:pPr>
        <w:pStyle w:val="Heading3"/>
      </w:pPr>
      <w:r>
        <w:rPr>
          <w:rFonts w:ascii="Times New Roman" w:hAnsi="Times New Roman"/>
        </w:rPr>
        <w:t>3.1 Bußgeldvorverfahren — Medienabschirmung</w:t>
      </w:r>
    </w:p>
    <w:p>
      <w:pPr>
        <w:jc w:val="left"/>
      </w:pPr>
      <w:r>
        <w:t>Das laufende Bußgeldvorverfahren B6-56/22 ist strikt aus der Kommunikation herauszuhalten. Auf Presseanfragen zu etwaigen Kartellvorwürfen lautet die Sprachregelung:</w:t>
      </w:r>
    </w:p>
    <w:p>
      <w:pPr>
        <w:ind w:left="567"/>
      </w:pPr>
      <w:r>
        <w:rPr>
          <w:i/>
        </w:rPr>
        <w:t>"Wir können uns zu laufenden Behördenverfahren nicht äußern. Wir kooperieren stets vollständig mit den zuständigen Behörden."</w:t>
      </w:r>
    </w:p>
    <w:p>
      <w:pPr>
        <w:jc w:val="left"/>
      </w:pPr>
      <w:r>
        <w:t>Kein Mitarbeiterr des GBW-Managements soll auf Messen, Branchenveranstaltungen oder in persönlichen Gesprächen Aussagen zu Preisabsprachen 2018–2021 machen. Diese Anweisung wird per Rundschreiben an alle Führungskräfte kommuniziert.</w:t>
      </w:r>
    </w:p>
    <w:p>
      <w:pPr>
        <w:pStyle w:val="Heading3"/>
      </w:pPr>
      <w:r>
        <w:rPr>
          <w:rFonts w:ascii="Times New Roman" w:hAnsi="Times New Roman"/>
        </w:rPr>
        <w:t>3.2 Gewerkschaft IG BCE / Betriebsrat</w:t>
      </w:r>
    </w:p>
    <w:p>
      <w:pPr>
        <w:jc w:val="left"/>
      </w:pPr>
      <w:r>
        <w:t>Der Betriebsrat der GBW wurde am 13. März 2026 (vor Signing) vertraulich informiert (§ 106 BetrVG). Der Betriebsrat hat Informationsrechte; er hat keine Mitbestimmungsrechte beim SPA selbst, wohl aber bei etwaigen Betriebsänderungen (§ 111 BetrVG).</w:t>
      </w:r>
    </w:p>
    <w:p>
      <w:pPr>
        <w:pStyle w:val="Heading3"/>
      </w:pPr>
      <w:r>
        <w:rPr>
          <w:rFonts w:ascii="Times New Roman" w:hAnsi="Times New Roman"/>
        </w:rPr>
        <w:t>3.3 DB InfraGO AG</w:t>
      </w:r>
    </w:p>
    <w:p>
      <w:pPr>
        <w:jc w:val="left"/>
      </w:pPr>
      <w:r>
        <w:t>DB InfraGO AG wurde am 14. März 2026 durch persönliches Gespräch zwischen Grosskopf-Hartmann und dem Leiter Einkauf Infrastruktur (Dr. Peter Haarmann-Scheff) informiert. Das Gespräch verlief konstruktiv; DB InfraGO hat die Übernahme zur Kenntnis genommen und auf das Freigabeverfahren verwiesen.</w:t>
      </w:r>
    </w:p>
    <w:p/>
    <w:p>
      <w:pPr>
        <w:pStyle w:val="Heading2"/>
      </w:pPr>
      <w:r>
        <w:rPr>
          <w:rFonts w:ascii="Times New Roman" w:hAnsi="Times New Roman"/>
        </w:rPr>
        <w:t>Quellen</w:t>
      </w:r>
    </w:p>
    <w:p>
      <w:pPr>
        <w:pStyle w:val="ListBullet"/>
      </w:pPr>
      <w:r>
        <w:t>Art. 4 Abs. 3 FKVO 139/2004 (Veröffentlichung): EUR-Lex</w:t>
      </w:r>
    </w:p>
    <w:p>
      <w:pPr>
        <w:pStyle w:val="ListBullet"/>
      </w:pPr>
      <w:r>
        <w:t>§ 106 BetrVG (Unterrichtungsrecht Betriebsrat): dejure.org/gesetze/BetrVG/106.html</w:t>
      </w:r>
    </w:p>
    <w:p>
      <w:pPr>
        <w:pStyle w:val="ListBullet"/>
      </w:pPr>
      <w:r>
        <w:t>§ 111 BetrVG (Betriebsänderung): dejure.org/gesetze/BetrVG/111.html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