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und Gesamtstrategie</w:t>
      </w:r>
    </w:p>
    <w:p>
      <w:pPr>
        <w:jc w:val="left"/>
      </w:pPr>
      <w:r>
        <w:t>Datum: 30. September 2026 (Abschlussdokument)</w:t>
      </w:r>
    </w:p>
    <w:p>
      <w:pPr>
        <w:jc w:val="left"/>
      </w:pPr>
      <w:r>
        <w:t>Bearbeiter: Prof. Dr. Cornelius Friedrich Schwertbeck</w:t>
      </w:r>
    </w:p>
    <w:p>
      <w:pPr>
        <w:jc w:val="left"/>
      </w:pPr>
      <w:r>
        <w:t>Aktenzeichen: SW/2026/KA-0318 | SW/2026/KA-0319</w:t>
      </w:r>
    </w:p>
    <w:p/>
    <w:p>
      <w:pPr>
        <w:pStyle w:val="Heading2"/>
      </w:pPr>
      <w:r>
        <w:rPr>
          <w:rFonts w:ascii="Times New Roman" w:hAnsi="Times New Roman"/>
        </w:rPr>
        <w:t>1. Chronologie des Gesamtverfahrens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 / Bezug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GBW / Kanzlei, Mandatsannahme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Due Diligence TBA gestartet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Marktstruktur-Analyse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Marktabgrenzungs-Memo (sachlich)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SSNIP-Analyse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Räumliche Abgrenzungs-Memo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Marktanteils-Matrix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Marktbeherrschungs-Analyse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Signing SPA GBW / Tannenheim Holding 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Anmeldung BKartA B6-188-26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 BKartA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Art.-22-Verweisung BKartA an EU-Kommission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Pre-Notification Contact DG COMP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Kommission übernimmt Verfahren COMP M.92188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DB InfraGO Drittstellungnahme bei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Start Phase I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Kenntnis Drittstellungnahme DB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Strategie Phase II dokumentiert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Carve-out-Konzept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Ökonomisches Gutachten (Prof. Untermaier-Goethe) beauftragt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Efficiency Defense / FFD-Analyse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Rehme Kronzeugenantrag (Vollerlass) beim BKartA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GBW-Kronzeugenantrag (Rabatt § 81e Abs.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Kronzeugenantrag GBW formal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Kommission eröffnet Phase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Statement of Objections an GBW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Schriftliche Stellungnahme GBW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Verpflichtungsangebot (Carve-out Bielefeld)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12, 19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Mündliche Anhörung Kommission Brüssel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06.–20.08.2026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Markttest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Überarbeitetes Verpflichtungsangebot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Freigabeentscheidung Kommission (Art. 8 Abs. 2 FKVO)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Closing SPA GBW / TBA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Juni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Veräußerung Bielefeld → Adlerstein Beton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Verfahrensstrategische Leitlinien</w:t>
      </w:r>
    </w:p>
    <w:p>
      <w:pPr>
        <w:pStyle w:val="Heading3"/>
      </w:pPr>
      <w:r>
        <w:rPr>
          <w:rFonts w:ascii="Times New Roman" w:hAnsi="Times New Roman"/>
        </w:rPr>
        <w:t>2.1 Strategische Prioritäten — Zusammenschluss</w:t>
      </w:r>
    </w:p>
    <w:p>
      <w:pPr>
        <w:pStyle w:val="ListNumber"/>
      </w:pPr>
      <w:r>
        <w:rPr>
          <w:b/>
        </w:rPr>
        <w:t>Frühzeitigkeit:</w:t>
      </w:r>
      <w:r>
        <w:t xml:space="preserve"> Anmeldung so schnell wie möglich nach Signing, um Prüffristen zu starten.</w:t>
      </w:r>
    </w:p>
    <w:p>
      <w:pPr>
        <w:pStyle w:val="ListNumber"/>
      </w:pPr>
      <w:r>
        <w:rPr>
          <w:b/>
        </w:rPr>
        <w:t>Proaktivität bei Abhilfemaßnahmen:</w:t>
      </w:r>
      <w:r>
        <w:t xml:space="preserve"> Carve-out Bielefeld schon vor dem SO andeuten (Pre-notification Remedies), um Vertrauen der Behörde aufzubauen.</w:t>
      </w:r>
    </w:p>
    <w:p>
      <w:pPr>
        <w:pStyle w:val="ListNumber"/>
      </w:pPr>
      <w:r>
        <w:rPr>
          <w:b/>
        </w:rPr>
        <w:t>Offene Kommunikation:</w:t>
      </w:r>
      <w:r>
        <w:t xml:space="preserve"> Keine Täuschung der Behörde über Marktanteile oder Strukturen. Kartellrechtliche Integrität ist oberste Prämisse.</w:t>
      </w:r>
    </w:p>
    <w:p>
      <w:pPr>
        <w:pStyle w:val="ListNumber"/>
      </w:pPr>
      <w:r>
        <w:rPr>
          <w:b/>
        </w:rPr>
        <w:t>Trennung Zusammenschluss / Bußgeld:</w:t>
      </w:r>
      <w:r>
        <w:t xml:space="preserve"> Zwei separate Anwaltsteams; kein Informationsfluss zwischen den Verfahren ohne ausdrückliche Freigabe.</w:t>
      </w:r>
    </w:p>
    <w:p>
      <w:pPr>
        <w:pStyle w:val="ListNumber"/>
      </w:pPr>
      <w:r>
        <w:rPr>
          <w:b/>
        </w:rPr>
        <w:t>Drittmanagement:</w:t>
      </w:r>
      <w:r>
        <w:t xml:space="preserve"> DB InfraGO AG frühzeitig in den Prozess einbinden; aus Kritiker zum neutralen oder supportiven Akteur entwickeln.</w:t>
      </w:r>
    </w:p>
    <w:p>
      <w:pPr>
        <w:pStyle w:val="Heading3"/>
      </w:pPr>
      <w:r>
        <w:rPr>
          <w:rFonts w:ascii="Times New Roman" w:hAnsi="Times New Roman"/>
        </w:rPr>
        <w:t>2.2 Strategische Prioritäten — Bußgeld</w:t>
      </w:r>
    </w:p>
    <w:p>
      <w:pPr>
        <w:pStyle w:val="ListNumber"/>
      </w:pPr>
      <w:r>
        <w:rPr>
          <w:b/>
        </w:rPr>
        <w:t>Schnelligkeit beim Kronzeugenantrag:</w:t>
      </w:r>
      <w:r>
        <w:t xml:space="preserve"> Rabatt-Antrag unmittelbar nach Kenntnis des Rehme-Antrags.</w:t>
      </w:r>
    </w:p>
    <w:p>
      <w:pPr>
        <w:pStyle w:val="ListNumber"/>
      </w:pPr>
      <w:r>
        <w:rPr>
          <w:b/>
        </w:rPr>
        <w:t>Kooperation ohne Selbstbelastung:</w:t>
      </w:r>
      <w:r>
        <w:t xml:space="preserve"> GBW kooperiert vollständig, macht aber keine Zugeständnisse, die im Schadensersatzprozess verwendet werden können.</w:t>
      </w:r>
    </w:p>
    <w:p>
      <w:pPr>
        <w:pStyle w:val="ListNumber"/>
      </w:pPr>
      <w:r>
        <w:rPr>
          <w:b/>
        </w:rPr>
        <w:t>Schadensersatzrisiko quantifizieren:</w:t>
      </w:r>
      <w:r>
        <w:t xml:space="preserve"> DB AG als potentielle Klägerin — Rückstellungen bilden.</w:t>
      </w:r>
    </w:p>
    <w:p>
      <w:pPr>
        <w:pStyle w:val="ListNumber"/>
      </w:pPr>
      <w:r>
        <w:rPr>
          <w:b/>
        </w:rPr>
        <w:t>Image trennen:</w:t>
      </w:r>
      <w:r>
        <w:t xml:space="preserve"> Bußgeldverfahren darf Fusionskontrollverfahren nicht belasten. Parallel-Kommunikation sorgfältig koordinieren.</w:t>
      </w:r>
    </w:p>
    <w:p/>
    <w:p>
      <w:pPr>
        <w:pStyle w:val="Heading2"/>
      </w:pPr>
      <w:r>
        <w:rPr>
          <w:rFonts w:ascii="Times New Roman" w:hAnsi="Times New Roman"/>
        </w:rPr>
        <w:t>3. Best-Case / Worst-Case Szenarien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Zusammenschluss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Bußgeld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Gesamt-Exposuere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 Case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Freigabe mit Carve-out; Closing Q4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Kronzeugenrabatt 50 %; Bußgeld ca. 2,3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Transaktion erfolgreich; Bußgeld moderat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Base Case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Freigabe mit erweiterten Auflagen; Closing Q1 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Kronzeugenrabatt 35 %; Bußgeld ca. 3,5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Transaktion realisierbar; leichte Verzögerung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Untersagung (fehlender Erwerber Carve-out)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Rabatt; Bußgeld ca. 6,5 Mio. EUR; DB-Schadensersatz ca. 8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Transaktion scheitert; Gesamtbelastung ca. 14,5 Mio.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Stundensaldo und Kostenprojekt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Verfahrenstrang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 bisher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Prognose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Honorar (Schätzung)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Fusionskontrolle (Düsseldorf)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650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312.000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EU-Kommission (Brüssel)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380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228.000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Bußgeld / Kronzeuge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145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280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112.000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735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1.310 Std.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652.000 EUR</w:t>
            </w:r>
          </w:p>
        </w:tc>
      </w:tr>
    </w:tbl>
    <w:p>
      <w:pPr>
        <w:jc w:val="left"/>
      </w:pPr>
      <w:r>
        <w:t>Hinweis: Honorarangaben netto ohne Umsatzsteuer; Auslagenpauschale nicht enthalten. Kostenestimat wird bei Mandatsgespräch Q3 2026 aktualisiert.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Gesamtübersicht GWB-Verfahren: dejure.org/gesetze/GWB</w:t>
      </w:r>
    </w:p>
    <w:p>
      <w:pPr>
        <w:pStyle w:val="ListBullet"/>
      </w:pPr>
      <w:r>
        <w:t>FKVO 139/2004 (Verfahrensregeln): EUR-Lex</w:t>
      </w:r>
    </w:p>
    <w:p>
      <w:pPr>
        <w:pStyle w:val="ListBullet"/>
      </w:pPr>
      <w:r>
        <w:t>Bundeskartellamt — Informationen zu Fusionskontrollverfahren: bundeskartellamt.de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