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Abschluss und Handlungsempfehlung — Gesamtbewertung</w:t>
      </w:r>
    </w:p>
    <w:p>
      <w:pPr>
        <w:jc w:val="left"/>
      </w:pPr>
      <w:r>
        <w:t>Datum: 30. September 2026</w:t>
      </w:r>
    </w:p>
    <w:p>
      <w:pPr>
        <w:jc w:val="left"/>
      </w:pPr>
      <w:r>
        <w:t>Bearbeiter: Prof. Dr. Cornelius Friedrich Schwertbeck</w:t>
      </w:r>
    </w:p>
    <w:p>
      <w:pPr>
        <w:jc w:val="left"/>
      </w:pPr>
      <w:r>
        <w:t>Aktenzeichen: SW/2026/KA-0318 | SW/2026/KA-0319 | EU COMP M.92188</w:t>
      </w:r>
    </w:p>
    <w:p/>
    <w:p>
      <w:pPr>
        <w:pStyle w:val="Heading2"/>
      </w:pPr>
      <w:r>
        <w:rPr>
          <w:rFonts w:ascii="Times New Roman" w:hAnsi="Times New Roman"/>
        </w:rPr>
        <w:t>1. Zusammenfassung des Verfahrensergebnisses</w:t>
      </w:r>
    </w:p>
    <w:p>
      <w:pPr>
        <w:pStyle w:val="Heading3"/>
      </w:pPr>
      <w:r>
        <w:rPr>
          <w:rFonts w:ascii="Times New Roman" w:hAnsi="Times New Roman"/>
        </w:rPr>
        <w:t>1.1 Fusionskontrolle</w:t>
      </w:r>
    </w:p>
    <w:p>
      <w:pPr>
        <w:jc w:val="left"/>
      </w:pPr>
      <w:r>
        <w:t>Die EU-Kommission hat am 25. September 2026 die Übernahme der Tannenheim Betonelemente AG durch die Grosskopf Betonwerk Westfalen GmbH gemäß Art. 8 Abs. 2 FKVO 139/2004 freigegeben. Bedingung: Veräußerung des Bielefelder Produktionswerks an die Adlerstein Beton AG (Wien) innerhalb von neun Monaten nach Vollzug.</w:t>
      </w:r>
    </w:p>
    <w:p>
      <w:pPr>
        <w:jc w:val="left"/>
      </w:pPr>
      <w:r>
        <w:t>Das Verfahren dauerte insgesamt ca. sieben Monate (Signing 15.03.2026 bis Freigabe 25.09.2026), davon sechs Monate aktives EU-Verfahren. Die Freigabe mit struktureller Auflage entspricht dem Base-Case-Szenario der Kanzlei. Das Ergebnis ist für die Mandantin wirtschaftlich vertretbar: GBW übernimmt den Markennamen TBA, die Kundenbeziehungen und das Know-how; lediglich das physische Werk Bielefeld wird veräußert.</w:t>
      </w:r>
    </w:p>
    <w:p>
      <w:pPr>
        <w:pStyle w:val="Heading3"/>
      </w:pPr>
      <w:r>
        <w:rPr>
          <w:rFonts w:ascii="Times New Roman" w:hAnsi="Times New Roman"/>
        </w:rPr>
        <w:t>1.2 Bußgeldverfahren</w:t>
      </w:r>
    </w:p>
    <w:p>
      <w:pPr>
        <w:jc w:val="left"/>
      </w:pPr>
      <w:r>
        <w:t>Der Kronzeugenantrag gemäß § 81e Abs. 2 GWB vom 24. April 2026 wurde vom BKartA bestätigt. GBW kooperiert vollständig im Bußgeldverfahren B6-56/22. Der abschließende Bußgeldbescheid steht noch aus (Prognose: Q2 2027). Auf Basis der bisherigen Kooperation erwartet die Kanzlei einen Rabatt von ca. 40–50 %, was ein Netto-Bußgeld von ca. 2,5–3,7 Mio. EUR ergibt.</w:t>
      </w:r>
    </w:p>
    <w:p/>
    <w:p>
      <w:pPr>
        <w:pStyle w:val="Heading2"/>
      </w:pPr>
      <w:r>
        <w:rPr>
          <w:rFonts w:ascii="Times New Roman" w:hAnsi="Times New Roman"/>
        </w:rPr>
        <w:t>2. Beurteilung der Kernrechtsfragen</w:t>
      </w:r>
    </w:p>
    <w:p>
      <w:pPr>
        <w:pStyle w:val="Heading3"/>
      </w:pPr>
      <w:r>
        <w:rPr>
          <w:rFonts w:ascii="Times New Roman" w:hAnsi="Times New Roman"/>
        </w:rPr>
        <w:t>2.1 Sachliche Marktabgrenzung</w:t>
      </w:r>
    </w:p>
    <w:p>
      <w:pPr>
        <w:jc w:val="left"/>
      </w:pPr>
      <w:r>
        <w:t>Das BKartA und die Kommission haben — wie von der Kanzlei erwartet — einen engen Markt "Bahnbetonschwellen (Spannbetonschwellen) für Vollbahn" zugrunde gelegt. Holzschwellen, Stahlschwellen und Verbundschwellen wurden nicht einbezogen. Die Bedarfsmarktkonzept-Analyse (BGH KZR 39/85) und der SSNIP-Test haben diese Abgrenzung bestätigt.</w:t>
      </w:r>
    </w:p>
    <w:p>
      <w:pPr>
        <w:jc w:val="left"/>
      </w:pPr>
      <w:r>
        <w:rPr>
          <w:b/>
        </w:rPr>
        <w:t>Lehre:</w:t>
      </w:r>
      <w:r>
        <w:t xml:space="preserve"> Bei normintensiven Produkten mit hohen Zulassungsschranken ist eine enge Marktabgrenzung in aller Regel unvermeidbar. Die Kanzlei hat die Mandantin auf diese Konsequenz frühzeitig hingewiesen.</w:t>
      </w:r>
    </w:p>
    <w:p>
      <w:pPr>
        <w:pStyle w:val="Heading3"/>
      </w:pPr>
      <w:r>
        <w:rPr>
          <w:rFonts w:ascii="Times New Roman" w:hAnsi="Times New Roman"/>
        </w:rPr>
        <w:t>2.2 Räumliche Marktabgrenzung</w:t>
      </w:r>
    </w:p>
    <w:p>
      <w:pPr>
        <w:jc w:val="left"/>
      </w:pPr>
      <w:r>
        <w:t>Die Kommission hat separate nationale Märkte (Deutschland, Niederlande, Belgien) definiert. Ein EWR-weiter Markt wurde verworfen. Dies entspricht der Empfehlung der Kanzlei, keine unglaubwürdige EWR-Abgrenzungsargumentation zu verfolgen.</w:t>
      </w:r>
    </w:p>
    <w:p>
      <w:pPr>
        <w:pStyle w:val="Heading3"/>
      </w:pPr>
      <w:r>
        <w:rPr>
          <w:rFonts w:ascii="Times New Roman" w:hAnsi="Times New Roman"/>
        </w:rPr>
        <w:t>2.3 Marktbeherrschung und SIEC-Test</w:t>
      </w:r>
    </w:p>
    <w:p>
      <w:pPr>
        <w:jc w:val="left"/>
      </w:pPr>
      <w:r>
        <w:t>Der Post-Merger-Marktanteil von 57 % (DE) hat — erwartungsgemäß — die Marktbeherrschungsvermutung des § 18 Abs. 4 GWB ausgelöst. Der SIEC-Test (Art. 2 Abs. 3 FKVO) wurde bejaht. Die Effizienzverteidigung und die Failing Firm Defense wurden von der Kommission als nicht hinreichend anerkannt, hatten aber moderierenden Einfluss auf die Bedingungen.</w:t>
      </w:r>
    </w:p>
    <w:p>
      <w:pPr>
        <w:pStyle w:val="Heading3"/>
      </w:pPr>
      <w:r>
        <w:rPr>
          <w:rFonts w:ascii="Times New Roman" w:hAnsi="Times New Roman"/>
        </w:rPr>
        <w:t>2.4 Abhilfemaßnahmen / Carve-out</w:t>
      </w:r>
    </w:p>
    <w:p>
      <w:pPr>
        <w:jc w:val="left"/>
      </w:pPr>
      <w:r>
        <w:t>Der Carve-out Bielefeld war die richtige und einzige wirksame Abhilfemaßnahme. Verhaltensbezogene Auflagen allein hätten die Kommission nicht überzeugt. Die frühe Einbindung des potentiellen Erwerbers (Adlerstein Beton AG) in die Verhandlungen war verfahrensstrategisch entscheidend.</w:t>
      </w:r>
    </w:p>
    <w:p>
      <w:pPr>
        <w:pStyle w:val="Heading3"/>
      </w:pPr>
      <w:r>
        <w:rPr>
          <w:rFonts w:ascii="Times New Roman" w:hAnsi="Times New Roman"/>
        </w:rPr>
        <w:t>2.5 ECN+-Richtlinie und Kronzeugenverfahren</w:t>
      </w:r>
    </w:p>
    <w:p>
      <w:pPr>
        <w:jc w:val="left"/>
      </w:pPr>
      <w:r>
        <w:t>Das durch die 10. GWB-Novelle harmonisierte Kronzeugenprogramm hat GBW eine geordnete Kooperation mit dem BKartA ermöglicht. Die Trennung von Fusionskontroll- und Bußgeldverfahren — verfahrensrechtlich und personell — hat Selbstbelastungsrisiken minimiert.</w:t>
      </w:r>
    </w:p>
    <w:p/>
    <w:p>
      <w:pPr>
        <w:pStyle w:val="Heading2"/>
      </w:pPr>
      <w:r>
        <w:rPr>
          <w:rFonts w:ascii="Times New Roman" w:hAnsi="Times New Roman"/>
        </w:rPr>
        <w:t>3. Handlungsempfehlungen für die Zukunft</w:t>
      </w:r>
    </w:p>
    <w:p>
      <w:pPr>
        <w:pStyle w:val="Heading3"/>
      </w:pPr>
      <w:r>
        <w:rPr>
          <w:rFonts w:ascii="Times New Roman" w:hAnsi="Times New Roman"/>
        </w:rPr>
        <w:t>3.1 Compliance-Programm</w:t>
      </w:r>
    </w:p>
    <w:p>
      <w:pPr>
        <w:jc w:val="left"/>
      </w:pPr>
      <w:r>
        <w:t>GBW sollte das aktuelle Ereignis zum Anlass nehmen, ein vollständiges Kartell-Compliance-Programm zu implementieren. Empfohlene Elemente:</w:t>
      </w:r>
    </w:p>
    <w:p>
      <w:pPr>
        <w:pStyle w:val="ListBullet"/>
      </w:pPr>
      <w:r>
        <w:t>Regelmäßige Schulung aller Vertriebsmitarbeitenden (jährlich, 2 Stunden)</w:t>
      </w:r>
    </w:p>
    <w:p>
      <w:pPr>
        <w:pStyle w:val="ListBullet"/>
      </w:pPr>
      <w:r>
        <w:t>Implementierung eines Hinweisgebers-Systems (§ 12 ff. HinSchG) für interne Kartellmeldungen</w:t>
      </w:r>
    </w:p>
    <w:p>
      <w:pPr>
        <w:pStyle w:val="ListBullet"/>
      </w:pPr>
      <w:r>
        <w:t>Compliance-Officer mit direktem Berichtsweg an Geschäftsführung</w:t>
      </w:r>
    </w:p>
    <w:p>
      <w:pPr>
        <w:pStyle w:val="ListBullet"/>
      </w:pPr>
      <w:r>
        <w:t>Jährliche externe Compliance-Prüfung durch Kanzlei</w:t>
      </w:r>
    </w:p>
    <w:p>
      <w:pPr>
        <w:pStyle w:val="Heading3"/>
      </w:pPr>
      <w:r>
        <w:rPr>
          <w:rFonts w:ascii="Times New Roman" w:hAnsi="Times New Roman"/>
        </w:rPr>
        <w:t>3.2 Monitoring Carve-out</w:t>
      </w:r>
    </w:p>
    <w:p>
      <w:pPr>
        <w:jc w:val="left"/>
      </w:pPr>
      <w:r>
        <w:t>Die Mandantin hat die Verpflichtung, die Veräußerung des Bielefelder Werks an Adlerstein innerhalb von 9 Monaten vollständig zu vollziehen. Die Kanzlei überwacht die Einhaltung und koordiniert mit dem Monitoring Trustee (PwC Frankfurt). Nächster Meilenstein: Kaufvertragsunterzeichnung GBW / Adlerstein bis Ende Januar 2027.</w:t>
      </w:r>
    </w:p>
    <w:p>
      <w:pPr>
        <w:pStyle w:val="Heading3"/>
      </w:pPr>
      <w:r>
        <w:rPr>
          <w:rFonts w:ascii="Times New Roman" w:hAnsi="Times New Roman"/>
        </w:rPr>
        <w:t>3.3 Schadensersatzrisiken DB AG</w:t>
      </w:r>
    </w:p>
    <w:p>
      <w:pPr>
        <w:jc w:val="left"/>
      </w:pPr>
      <w:r>
        <w:t>Die Deutsche Bahn AG hat angekündigt, kartellrechtliche Schadensersatzansprüche wegen der Preisabstimmungen 2018–2021 zu prüfen (§ 33a GWB, Art. 101 AEUV). Die Kanzlei empfiehlt:</w:t>
      </w:r>
    </w:p>
    <w:p>
      <w:pPr>
        <w:pStyle w:val="ListBullet"/>
      </w:pPr>
      <w:r>
        <w:t>Rückstellungen in Höhe von ca. 5–8 Mio. EUR</w:t>
      </w:r>
    </w:p>
    <w:p>
      <w:pPr>
        <w:pStyle w:val="ListBullet"/>
      </w:pPr>
      <w:r>
        <w:t>Präventive Gespräche mit DB AG über außergerichtliche Einigung</w:t>
      </w:r>
    </w:p>
    <w:p>
      <w:pPr>
        <w:pStyle w:val="ListBullet"/>
      </w:pPr>
      <w:r>
        <w:t>Vorbehalt der gerichtlichen Auseinandersetzung, falls Forderungen überzogen</w:t>
      </w:r>
    </w:p>
    <w:p>
      <w:pPr>
        <w:pStyle w:val="Heading3"/>
      </w:pPr>
      <w:r>
        <w:rPr>
          <w:rFonts w:ascii="Times New Roman" w:hAnsi="Times New Roman"/>
        </w:rPr>
        <w:t>3.4 Integration TBA (nach Closing)</w:t>
      </w:r>
    </w:p>
    <w:p>
      <w:pPr>
        <w:jc w:val="left"/>
      </w:pPr>
      <w:r>
        <w:t>Nach dem Closing Oktober 2026 beginnt die Integration der TBA-Kundenbeziehungen, des Know-hows und des Personals (exkl. Bielefeld) in die GBW-Struktur. Die Kanzlei empfiehlt:</w:t>
      </w:r>
    </w:p>
    <w:p>
      <w:pPr>
        <w:pStyle w:val="ListBullet"/>
      </w:pPr>
      <w:r>
        <w:t>Eigenständiges Integrationsteam (GBW-Seite)</w:t>
      </w:r>
    </w:p>
    <w:p>
      <w:pPr>
        <w:pStyle w:val="ListBullet"/>
      </w:pPr>
      <w:r>
        <w:t>Betriebsratseinbindung gemäß § 613a BGB (Bielefeld) und BetrVG (Integration Münster)</w:t>
      </w:r>
    </w:p>
    <w:p>
      <w:pPr>
        <w:pStyle w:val="ListBullet"/>
      </w:pPr>
      <w:r>
        <w:t>Wettbewerbsrechtliche Compliance-Prüfung aller gemeinsamen Kundenansprachen (Gun-Jumping-Risiko bis zum Vollzug der Bielefeld-Veräußerung)</w:t>
      </w:r>
    </w:p>
    <w:p/>
    <w:p>
      <w:pPr>
        <w:pStyle w:val="Heading2"/>
      </w:pPr>
      <w:r>
        <w:rPr>
          <w:rFonts w:ascii="Times New Roman" w:hAnsi="Times New Roman"/>
        </w:rPr>
        <w:t>4. Mandatsabschluss</w:t>
      </w:r>
    </w:p>
    <w:p>
      <w:pPr>
        <w:jc w:val="left"/>
      </w:pPr>
      <w:r>
        <w:t>Das Mandat in seiner Kernphase ist mit der Freigabeentscheidung vom 25. September 2026 abgeschlossen. Die Kanzlei übernimmt die Begleitung der Monitoring-Phase (bis Oktober 2028) und des Bußgeldverfahrens (bis Bescheid, voraussichtlich Q2 2027) als Fortführungsmandate.</w:t>
      </w:r>
    </w:p>
    <w:p>
      <w:pPr>
        <w:jc w:val="left"/>
      </w:pPr>
      <w:r>
        <w:t xml:space="preserve">Bearbeiterin Fusionskontrolle: </w:t>
      </w:r>
      <w:r>
        <w:rPr>
          <w:b/>
        </w:rPr>
        <w:t>Prof. Dr. Cornelius Friedrich Schwertbeck</w:t>
      </w:r>
      <w:r>
        <w:t xml:space="preserve"> (federführend), </w:t>
      </w:r>
      <w:r>
        <w:rPr>
          <w:b/>
        </w:rPr>
        <w:t>RA Stefan Brinkmeier</w:t>
      </w:r>
      <w:r>
        <w:t xml:space="preserve"> (GWB-Verfahren), </w:t>
      </w:r>
      <w:r>
        <w:rPr>
          <w:b/>
        </w:rPr>
        <w:t>RAin Dr. Annette van Hove</w:t>
      </w:r>
      <w:r>
        <w:t xml:space="preserve"> (EU-Kommission)</w:t>
      </w:r>
    </w:p>
    <w:p>
      <w:pPr>
        <w:jc w:val="left"/>
      </w:pPr>
      <w:r>
        <w:t xml:space="preserve">Bearbeiterin Bußgeld: </w:t>
      </w:r>
      <w:r>
        <w:rPr>
          <w:b/>
        </w:rPr>
        <w:t>Prof. Dr. Cornelius Friedrich Schwertbeck</w:t>
      </w:r>
      <w:r>
        <w:t>, Submandat Forensik: [extern]</w:t>
      </w:r>
    </w:p>
    <w:p>
      <w:pPr>
        <w:jc w:val="left"/>
      </w:pPr>
      <w:r>
        <w:t>Kanzlei: Schwertbeck &amp; Partner Rechtsanwälte, Graf-Adolf-Platz 5, 40213 Düsseldorf</w:t>
      </w:r>
    </w:p>
    <w:p>
      <w:pPr>
        <w:jc w:val="left"/>
      </w:pPr>
      <w:r>
        <w:t>Brüssel-Office: Rue de la Loi 155, 1040 Brüssel</w:t>
      </w:r>
    </w:p>
    <w:p/>
    <w:p>
      <w:pPr>
        <w:pStyle w:val="Heading2"/>
      </w:pPr>
      <w:r>
        <w:rPr>
          <w:rFonts w:ascii="Times New Roman" w:hAnsi="Times New Roman"/>
        </w:rPr>
        <w:t>Quellen</w:t>
      </w:r>
    </w:p>
    <w:p>
      <w:pPr>
        <w:pStyle w:val="ListBullet"/>
      </w:pPr>
      <w:r>
        <w:t>§ 33a GWB (kartellrechtlicher Schadensersatz): dejure.org/gesetze/GWB/33a.html</w:t>
      </w:r>
    </w:p>
    <w:p>
      <w:pPr>
        <w:pStyle w:val="ListBullet"/>
      </w:pPr>
      <w:r>
        <w:t>Art. 8 Abs. 2 FKVO 139/2004 (Freigabe mit Auflagen): EUR-Lex</w:t>
      </w:r>
    </w:p>
    <w:p>
      <w:pPr>
        <w:pStyle w:val="ListBullet"/>
      </w:pPr>
      <w:r>
        <w:t>§ 81e GWB (Kronzeuge): dejure.org/gesetze/GWB/81e.html</w:t>
      </w:r>
    </w:p>
    <w:p>
      <w:pPr>
        <w:pStyle w:val="ListBullet"/>
      </w:pPr>
      <w:r>
        <w:t>BGH KZR 39/85 "Lüsterbehang" (Bedarfsmarktkonzept): bundesgerichtshof.de</w:t>
      </w:r>
    </w:p>
    <w:p>
      <w:pPr>
        <w:pStyle w:val="ListBullet"/>
      </w:pPr>
      <w:r>
        <w:t>ECN+-Richtlinie 2019/1: EUR-Lex</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