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Investorencall — Minuten</w:t>
      </w:r>
    </w:p>
    <w:p>
      <w:pPr>
        <w:jc w:val="left"/>
      </w:pPr>
      <w:r>
        <w:t>Der CEO verspricht 'saubere Energie, kein Atommüll, kaum Genehmigungen'. Der technische Leiter korrigiert vorsichtig: Es gebe Neutronenaktivierung, Tritiumlogistik müsse geprüft werden, Strahlenschutz sei ein eigenes Workstream und die Anlage brauche belastbare Sachverständigennachweise.</w:t>
      </w:r>
    </w:p>
    <w:p>
      <w:pPr>
        <w:jc w:val="left"/>
      </w:pPr>
      <w:r>
        <w:t>Der Investor fragt, ob man nicht einfach als Forschungsanlage starten könne. Die Rechtsabteilung antwortet, dass Etiketten nicht entscheiden; maßgeblich seien tatsächliche Anlage, Stoffe, Strahlung, Risiken und Behördenzuständigkeit.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