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Standortnotiz Starnberger See</w:t>
      </w:r>
    </w:p>
    <w:p>
      <w:pPr>
        <w:pStyle w:val="Heading2"/>
      </w:pPr>
      <w:r>
        <w:rPr>
          <w:rFonts w:ascii="Times New Roman" w:hAnsi="Times New Roman"/>
        </w:rPr>
        <w:t>Lage und Konflikte</w:t>
      </w:r>
    </w:p>
    <w:p>
      <w:pPr>
        <w:jc w:val="left"/>
      </w:pPr>
      <w:r>
        <w:t>Die von der Isarstern Fusion SE favorisierte Fläche (ca. 14 ha, ehemaliges Kasernen- und Speditionsgelände nordöstlich von Seehaupten, 1,2 km Luftlinie zum Seeufer) liegt landschaftlich hochsensibel: Landschaftsschutzgebiet grenzt unmittelbar an, das Seeufer ist Erholungslandschaft von regionaler Bedeutung, zwei kartierte Biotope (Feuchtwiese, Altholzbestand) liegen im Nordteil der Fläche. Der Bürgermeister findet den Transrapid "charmant", will aber keine Demonstrationsanlage ohne belastbares Evakuierungs- und Sicherheitskonzept — und keine Festlegung vor der Kommunalwahl im Frühjahr.</w:t>
      </w:r>
    </w:p>
    <w:p>
      <w:pPr>
        <w:pStyle w:val="Heading2"/>
      </w:pPr>
      <w:r>
        <w:rPr>
          <w:rFonts w:ascii="Times New Roman" w:hAnsi="Times New Roman"/>
        </w:rPr>
        <w:t>Rechtliche Prüfschienen</w:t>
      </w:r>
    </w:p>
    <w:p>
      <w:pPr>
        <w:pStyle w:val="Heading3"/>
      </w:pPr>
      <w:r>
        <w:rPr>
          <w:rFonts w:ascii="Times New Roman" w:hAnsi="Times New Roman"/>
        </w:rPr>
        <w:t>1. Raumordnung und Landesplanung</w:t>
      </w:r>
    </w:p>
    <w:p>
      <w:pPr>
        <w:pStyle w:val="ListBullet"/>
      </w:pPr>
      <w:r>
        <w:rPr>
          <w:b/>
        </w:rPr>
        <w:t>Raumordnungsverfahren (Art. 24 ff. BayLplG)</w:t>
      </w:r>
      <w:r>
        <w:t>: Bei einem Vorhaben dieser Dimension (Energieerzeugungsanlage + Verkehrsanbindung) wird die höhere Landesplanungsbehörde ein ROV verlangen; Alternativenprüfung ist Kernbestandteil — die Projektgesellschaft sollte selbst zwei Alternativstandorte (Gewerbepark Nord, Konversionsfläche an der Bahnstrecke) ernsthaft mitprüfen, sonst Angriffsfläche.</w:t>
      </w:r>
    </w:p>
    <w:p>
      <w:pPr>
        <w:pStyle w:val="ListBullet"/>
      </w:pPr>
      <w:r>
        <w:rPr>
          <w:b/>
        </w:rPr>
        <w:t>Anbindegebot und Ziele des LEP Bayern</w:t>
      </w:r>
      <w:r>
        <w:t>: Großflächige Sondernutzungen sind an Siedlungseinheiten anzubinden; die Ufer-Nähe spricht gegen den Standort, die Konversionsfläche dafür.</w:t>
      </w:r>
    </w:p>
    <w:p>
      <w:pPr>
        <w:pStyle w:val="Heading3"/>
      </w:pPr>
      <w:r>
        <w:rPr>
          <w:rFonts w:ascii="Times New Roman" w:hAnsi="Times New Roman"/>
        </w:rPr>
        <w:t>2. Bauleitplanung</w:t>
      </w:r>
    </w:p>
    <w:p>
      <w:pPr>
        <w:pStyle w:val="ListBullet"/>
      </w:pPr>
      <w:r>
        <w:t xml:space="preserve">Die Gemeinde Seehaupten müsste einen </w:t>
      </w:r>
      <w:r>
        <w:rPr>
          <w:b/>
        </w:rPr>
        <w:t>vorhabenbezogenen Bebauungsplan</w:t>
      </w:r>
      <w:r>
        <w:t xml:space="preserve"> (§ 12 BauGB) oder ein Sondergebiet "Forschung/Energie" (§ 11 BauNVO) aufstellen; im Außenbereich wäre das Vorhaben nach </w:t>
      </w:r>
      <w:r>
        <w:rPr>
          <w:b/>
        </w:rPr>
        <w:t>§ 35 BauGB</w:t>
      </w:r>
      <w:r>
        <w:t xml:space="preserve"> nicht privilegiert (Fusionsanlage ist kein Fall des § 35 Abs. 1 Nr. 3 BauGB allein wegen "Ortsgebundenheit" — die fehlt hier gerade) und als sonstiges Vorhaben unzulässig.</w:t>
      </w:r>
    </w:p>
    <w:p>
      <w:pPr>
        <w:pStyle w:val="ListBullet"/>
      </w:pPr>
      <w:r>
        <w:t>Politisches Risiko: Aufstellungsbeschluss vor der Kommunalwahl unrealistisch; danach abhängig von Mehrheiten. Städtebaulicher Vertrag (§ 11 BauGB) über Folgekosten, Erschließung, Sicherheitsleistungen vorbereiten.</w:t>
      </w:r>
    </w:p>
    <w:p>
      <w:pPr>
        <w:pStyle w:val="Heading3"/>
      </w:pPr>
      <w:r>
        <w:rPr>
          <w:rFonts w:ascii="Times New Roman" w:hAnsi="Times New Roman"/>
        </w:rPr>
        <w:t>3. Wasserrecht</w:t>
      </w:r>
    </w:p>
    <w:p>
      <w:pPr>
        <w:pStyle w:val="ListBullet"/>
      </w:pPr>
      <w:r>
        <w:t xml:space="preserve">Kühlwasserentnahme aus dem See oder Grundwasser: </w:t>
      </w:r>
      <w:r>
        <w:rPr>
          <w:b/>
        </w:rPr>
        <w:t>Erlaubnis/Bewilligung nach §§ 8 ff. WHG</w:t>
      </w:r>
      <w:r>
        <w:t xml:space="preserve"> mit Bewirtschaftungsermessen; Einleitung von Kühlwasser (Temperaturfahne) am Starnberger See praktisch nicht durchsetzbar — Trockenkühlung einplanen, dann steigt aber der Flächen- und Lärmbedarf.</w:t>
      </w:r>
    </w:p>
    <w:p>
      <w:pPr>
        <w:pStyle w:val="ListBullet"/>
      </w:pPr>
      <w:r>
        <w:t>Wasserschutz: Teile des Umfelds liegen in der weiteren Schutzzone eines Trinkwassereinzugsgebiets — Bohrungen und Tritium-Handhabung (Aktenstück 04) kollidieren hier; hydrogeologisches Gutachten zwingend.</w:t>
      </w:r>
    </w:p>
    <w:p>
      <w:pPr>
        <w:pStyle w:val="Heading3"/>
      </w:pPr>
      <w:r>
        <w:rPr>
          <w:rFonts w:ascii="Times New Roman" w:hAnsi="Times New Roman"/>
        </w:rPr>
        <w:t>4. Naturschutz</w:t>
      </w:r>
    </w:p>
    <w:p>
      <w:pPr>
        <w:pStyle w:val="ListBullet"/>
      </w:pPr>
      <w:r>
        <w:rPr>
          <w:b/>
        </w:rPr>
        <w:t>Natura 2000</w:t>
      </w:r>
      <w:r>
        <w:t>: FFH-Gebiet "Starnberger See" — bei möglichen erheblichen Beeinträchtigungen FFH-Verträglichkeitsprüfung (§ 34 BNatSchG); Licht-, Lärm- und Bauzeitenkonzept früh entwickeln.</w:t>
      </w:r>
    </w:p>
    <w:p>
      <w:pPr>
        <w:pStyle w:val="ListBullet"/>
      </w:pPr>
      <w:r>
        <w:rPr>
          <w:b/>
        </w:rPr>
        <w:t>Artenschutz (§ 44 BNatSchG)</w:t>
      </w:r>
      <w:r>
        <w:t>: Altholzbestand = Fledermaus- und Spechtverdacht; saP (spezielle artenschutzrechtliche Prüfung) beauftragen, Kartierungsfenster (März-Juni) nicht verpassen — sonst ein Jahr Verzug.</w:t>
      </w:r>
    </w:p>
    <w:p>
      <w:pPr>
        <w:pStyle w:val="ListBullet"/>
      </w:pPr>
      <w:r>
        <w:rPr>
          <w:b/>
        </w:rPr>
        <w:t>Landschaftsbild</w:t>
      </w:r>
      <w:r>
        <w:t>: 28 m hohes Hallenbauwerk plus Transrapid-Trasse im Vorland des Sees — Eingriffsregelung (§§ 13 ff. BNatSchG) mit erheblichem Kompensationsbedarf.</w:t>
      </w:r>
    </w:p>
    <w:p>
      <w:pPr>
        <w:pStyle w:val="Heading3"/>
      </w:pPr>
      <w:r>
        <w:rPr>
          <w:rFonts w:ascii="Times New Roman" w:hAnsi="Times New Roman"/>
        </w:rPr>
        <w:t>5. Kommunalpolitik und Akzeptanz</w:t>
      </w:r>
    </w:p>
    <w:p>
      <w:pPr>
        <w:pStyle w:val="ListBullet"/>
      </w:pPr>
      <w:r>
        <w:t xml:space="preserve">Bürgerinitiative "Uferklar" sammelt bereits Unterschriften; ein </w:t>
      </w:r>
      <w:r>
        <w:rPr>
          <w:b/>
        </w:rPr>
        <w:t>Bürgerbegehren</w:t>
      </w:r>
      <w:r>
        <w:t xml:space="preserve"> (Art. 18a BayGO) gegen die Bauleitplanung ist realistisch.</w:t>
      </w:r>
    </w:p>
    <w:p>
      <w:pPr>
        <w:pStyle w:val="ListBullet"/>
      </w:pPr>
      <w:r>
        <w:t>Empfehlung: frühe freiwillige Öffentlichkeitsbeteiligung (Planungsdialog), Sicherheitskonzept VOR der ersten Bürgerversammlung vorlegen (Verzahnung mit Aktenstück 04 und 12), Transrapid und Anlage kommunikativ trennen — die Anbindung ist verhandelbar, die Anlage der Kern.</w:t>
      </w:r>
    </w:p>
    <w:p>
      <w:pPr>
        <w:pStyle w:val="Heading2"/>
      </w:pPr>
      <w:r>
        <w:rPr>
          <w:rFonts w:ascii="Times New Roman" w:hAnsi="Times New Roman"/>
        </w:rPr>
        <w:t>Nächste Schritte</w:t>
      </w:r>
    </w:p>
    <w:p>
      <w:pPr>
        <w:pStyle w:val="ListNumber"/>
      </w:pPr>
      <w:r>
        <w:t>Standort-Alternativenmatrix (drei Standorte, Kriterien: Planungsrecht, Wasser, Naturschutz, Netz, Akzeptanz) für die Ministeriumsvorlage (Aktenstück 11).</w:t>
      </w:r>
    </w:p>
    <w:p>
      <w:pPr>
        <w:pStyle w:val="ListNumber"/>
      </w:pPr>
      <w:r>
        <w:t>Scoping-Antrag für ROV vorbereiten; vorgezogene saP-Kartierung sofort beauftragen.</w:t>
      </w:r>
    </w:p>
    <w:p>
      <w:pPr>
        <w:pStyle w:val="ListNumber"/>
      </w:pPr>
      <w:r>
        <w:t>Gespräch mit Gemeinde: städtebaulicher Vertrag + Sicherheitskonzept als Paket.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