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Strahlenschutz und Sicherheit</w:t>
      </w:r>
    </w:p>
    <w:p>
      <w:pPr>
        <w:pStyle w:val="Heading2"/>
      </w:pPr>
      <w:r>
        <w:rPr>
          <w:rFonts w:ascii="Times New Roman" w:hAnsi="Times New Roman"/>
        </w:rPr>
        <w:t>Einordnung: Fusion ist nicht Fission — aber nicht genehmigungsfrei</w:t>
      </w:r>
    </w:p>
    <w:p>
      <w:pPr>
        <w:jc w:val="left"/>
      </w:pPr>
      <w:r>
        <w:t xml:space="preserve">Der CEO-Satz "kein Atommüll, kaum Genehmigungen" (Aktenstück 01, Investorencall) ist rechtlich falsch. Richtig ist: Eine Fusionsanlage ist </w:t>
      </w:r>
      <w:r>
        <w:rPr>
          <w:b/>
        </w:rPr>
        <w:t>keine kerntechnische Anlage i.S.d. § 7 AtG</w:t>
      </w:r>
      <w:r>
        <w:t xml:space="preserve"> (keine Kernspaltung, keine Kettenreaktion) — das deutsche Atomrecht ist auf Spaltanlagen zugeschnitten. Maßgeblich ist stattdessen das </w:t>
      </w:r>
      <w:r>
        <w:rPr>
          <w:b/>
        </w:rPr>
        <w:t>Strahlenschutzrecht (StrlSchG/StrlSchV)</w:t>
      </w:r>
      <w:r>
        <w:t>:</w:t>
      </w:r>
    </w:p>
    <w:p>
      <w:pPr>
        <w:pStyle w:val="ListBullet"/>
      </w:pPr>
      <w:r>
        <w:rPr>
          <w:b/>
        </w:rPr>
        <w:t>Umgang mit Tritium</w:t>
      </w:r>
      <w:r>
        <w:t xml:space="preserve"> (radioaktiver Wasserstoff, Brennstoffkomponente): genehmigungspflichtiger Umgang mit radioaktiven Stoffen nach </w:t>
      </w:r>
      <w:r>
        <w:rPr>
          <w:b/>
        </w:rPr>
        <w:t>§ 12 Abs. 1 Nr. 3 StrlSchG</w:t>
      </w:r>
      <w:r>
        <w:t>; bei den projektierten Mengen (zweistelliger Gramm-Bereich Inventar) deutlich über den Freigrenzen (Anlage 4 StrlSchV).</w:t>
      </w:r>
    </w:p>
    <w:p>
      <w:pPr>
        <w:pStyle w:val="ListBullet"/>
      </w:pPr>
      <w:r>
        <w:rPr>
          <w:b/>
        </w:rPr>
        <w:t>Anlagen zur Erzeugung ionisierender Strahlung</w:t>
      </w:r>
      <w:r>
        <w:t xml:space="preserve">: Der Fusionsbetrieb erzeugt Neutronenstrahlung — Genehmigung nach </w:t>
      </w:r>
      <w:r>
        <w:rPr>
          <w:b/>
        </w:rPr>
        <w:t>§ 12 Abs. 1 Nr. 1 StrlSchG</w:t>
      </w:r>
      <w:r>
        <w:t xml:space="preserve"> (Anlage zur Erzeugung ionisierender Strahlung). Vorbild: die Genehmigungspraxis für Beschleuniger und für Wendelstein 7-X (dort Landesbehörde MV).</w:t>
      </w:r>
    </w:p>
    <w:p>
      <w:pPr>
        <w:pStyle w:val="ListBullet"/>
      </w:pPr>
      <w:r>
        <w:t xml:space="preserve">Zuständig in Bayern: Landesamt für Umwelt / StMUV als Strahlenschutzbehörde; </w:t>
      </w:r>
      <w:r>
        <w:rPr>
          <w:b/>
        </w:rPr>
        <w:t>nicht</w:t>
      </w:r>
      <w:r>
        <w:t xml:space="preserve"> das BASE — solange der Gesetzgeber kein eigenes Fusionsanlagen-Gesetz schafft (Bund diskutiert ein "Fusionsanlagengesetz"; Rechtsentwicklung beobachten und in der Ministeriumsvorlage als Chance UND Risiko ausweisen).</w:t>
      </w:r>
    </w:p>
    <w:p>
      <w:pPr>
        <w:pStyle w:val="Heading2"/>
      </w:pPr>
      <w:r>
        <w:rPr>
          <w:rFonts w:ascii="Times New Roman" w:hAnsi="Times New Roman"/>
        </w:rPr>
        <w:t>Offene Nachweise (aus dem Sicherheitsworkshop, Aktenstück 08/12)</w:t>
      </w:r>
    </w:p>
    <w:p>
      <w:pPr>
        <w:pStyle w:val="ListNumber"/>
      </w:pPr>
      <w:r>
        <w:rPr>
          <w:b/>
        </w:rPr>
        <w:t>Strahlungsquellen und Abschirmung</w:t>
      </w:r>
      <w:r>
        <w:t>: Neutronenfluss im Betrieb; Auslegung der Bioshield-Wand (Beton-Stärke, Aktivierungsarme Materialien); Nachweis der Dosisgrenzwerte an der Anlagengrenze (§ 80 StrlSchG: 1 mSv/a effektiv für Einzelpersonen der Bevölkerung) und am Zaun des Betriebsgeländes.</w:t>
      </w:r>
    </w:p>
    <w:p>
      <w:pPr>
        <w:pStyle w:val="ListNumber"/>
      </w:pPr>
      <w:r>
        <w:rPr>
          <w:b/>
        </w:rPr>
        <w:t>Aktivierung von Bauteilen</w:t>
      </w:r>
      <w:r>
        <w:t xml:space="preserve">: Strukturmaterialien (Stahl der ersten Wand, Divertor) werden durch Neutronen aktiviert → schwach-/mittelradioaktive Abfälle bei Wartung und Rückbau. "Kein Atommüll" stimmt nur für hochradioaktive Spaltprodukte; aktivierte Komponenten sind </w:t>
      </w:r>
      <w:r>
        <w:rPr>
          <w:b/>
        </w:rPr>
        <w:t>radioaktive Abfälle i.S.d. § 3 StrlSchG</w:t>
      </w:r>
      <w:r>
        <w:t xml:space="preserve"> mit Ablieferungspflicht an die Landessammelstelle bzw. Konditionierung. Abfall- und Stoffstrombilanz für die Genehmigung zwingend.</w:t>
      </w:r>
    </w:p>
    <w:p>
      <w:pPr>
        <w:pStyle w:val="ListNumber"/>
      </w:pPr>
      <w:r>
        <w:rPr>
          <w:b/>
        </w:rPr>
        <w:t>Tritium- und Wasserstofflogistik</w:t>
      </w:r>
      <w:r>
        <w:t>: Anlieferung, Lagerung (Uran-Getter-Bett oder Metallhydrid), Bilanzierung (Tritium ist HTO-mobil — Grundwasserschutz! Verzahnung mit Wasserrecht, Aktenstück 02), Rückhaltung (Tritium-Rückgewinnungsanlage), Emissionsüberwachung Fortluft/Abwasser (§§ 102 ff. StrlSchV). Zusätzlich konventionell: Wasserstoff = Explosionsschutz (ATEX, BetrSichV), Störfallrecht prüfen (12. BImSchV greift erst ab Mengenschwellen — H2-Inventar gegenrechnen).</w:t>
      </w:r>
    </w:p>
    <w:p>
      <w:pPr>
        <w:pStyle w:val="ListNumber"/>
      </w:pPr>
      <w:r>
        <w:rPr>
          <w:b/>
        </w:rPr>
        <w:t>Notfall- und Stilllegungskonzept</w:t>
      </w:r>
      <w:r>
        <w:t>: Auslegungsstörfälle (Tritium-Freisetzung, Magnetquench, Kühlmittelverlust) mit Quelltermen; Notfallschutzplanung mit Landratsamt; Rückstellungen für Rückbau und Abfallentsorgung (Finanzsicherheit wird die Behörde analog § 13 StrlSchG-Zuverlässigkeitsprüfung und über Auflagen verlangen — in die Finanzplanung der Ministeriumsvorlage aufnehmen).</w:t>
      </w:r>
    </w:p>
    <w:p>
      <w:pPr>
        <w:pStyle w:val="ListNumber"/>
      </w:pPr>
      <w:r>
        <w:rPr>
          <w:b/>
        </w:rPr>
        <w:t>Sachverständigenprüfung</w:t>
      </w:r>
      <w:r>
        <w:t>: Behörde wird TÜV/Sachverständige nach § 172 StrlSchG zuziehen; Prüfumfang und Zeitachse (12-18 Monate für das Sicherheitsgutachten) im Projektplan verankern.</w:t>
      </w:r>
    </w:p>
    <w:p>
      <w:pPr>
        <w:pStyle w:val="ListNumber"/>
      </w:pPr>
      <w:r>
        <w:rPr>
          <w:b/>
        </w:rPr>
        <w:t>Schnittstelle Feuerwehr, Katastrophenschutz, Polizei</w:t>
      </w:r>
      <w:r>
        <w:t>: Brandschutzkonzept mit Tritium-Szenario, Einsatzkräfte-Schulung, Alarmierungswege; Objektschutz (Sabotage/Drohnen — Stand der Technik dokumentieren, auch für die Bürgerversammlung).</w:t>
      </w:r>
    </w:p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pStyle w:val="ListNumber"/>
      </w:pPr>
      <w:r>
        <w:t>Genehmigungsstrategie-Memo: § 12 StrlSchG-Antrag als führendes Verfahren, BImSchG-/Bau-/Wasserrecht parallel; Behördentermin (Scoping) mit StMUV und Landratsamt binnen 8 Wochen.</w:t>
      </w:r>
    </w:p>
    <w:p>
      <w:pPr>
        <w:pStyle w:val="ListNumber"/>
      </w:pPr>
      <w:r>
        <w:t>Sicherheitsbericht-Gliederung nach Vorbild beschleunigerbasierter Anlagen beauftragen (Sachverständiger mit Fusionserfahrung — Pool ist klein, früh binden).</w:t>
      </w:r>
    </w:p>
    <w:p>
      <w:pPr>
        <w:pStyle w:val="ListNumber"/>
      </w:pPr>
      <w:r>
        <w:t>Sprachregelung intern korrigieren: "genehmigungsarm" streichen; korrekt ist "kein Atomrecht, aber volles Strahlenschutzregime". Der Investorencall-Fehler (Aktenstück 01) darf sich in keiner Behörden- oder Bürgerkommunikation wiederholen.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