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Netzanschluss und Vermarktung</w:t>
      </w:r>
    </w:p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 xml:space="preserve">Die Projektgesellschaft wirbt mit "Grundlast neu erfunden" und nennt 350 MW elektrische Nettoleistung in der Endausbaustufe; die Demonstrationsanlage Phase 1 soll 30-50 MW einspeisen, in Phase 0 (erste Betriebsjahre) ist die Anlage </w:t>
      </w:r>
      <w:r>
        <w:rPr>
          <w:b/>
        </w:rPr>
        <w:t>Nettoverbraucher</w:t>
      </w:r>
      <w:r>
        <w:t xml:space="preserve"> (Magnetsysteme, Kryotechnik, Heizsysteme: Bezugsleistung bis 80 MW). Für das Rechtsmemo ist nüchtern zu prüfen:</w:t>
      </w:r>
    </w:p>
    <w:p>
      <w:pPr>
        <w:pStyle w:val="Heading2"/>
      </w:pPr>
      <w:r>
        <w:rPr>
          <w:rFonts w:ascii="Times New Roman" w:hAnsi="Times New Roman"/>
        </w:rPr>
        <w:t>1. Netzanschluss</w:t>
      </w:r>
    </w:p>
    <w:p>
      <w:pPr>
        <w:pStyle w:val="ListBullet"/>
      </w:pPr>
      <w:r>
        <w:rPr>
          <w:b/>
        </w:rPr>
        <w:t>Anschlussebene</w:t>
      </w:r>
      <w:r>
        <w:t xml:space="preserve">: 80 MW Bezug / 350 MW Einspeisung erfordern Anschluss an das </w:t>
      </w:r>
      <w:r>
        <w:rPr>
          <w:b/>
        </w:rPr>
        <w:t>110-kV-Netz</w:t>
      </w:r>
      <w:r>
        <w:t xml:space="preserve"> (Phase 0/1, Verteilnetzbetreiber) bzw. perspektivisch ans Übertragungsnetz (TenneT, 220/380 kV) — zwei verschiedene Anschlussregime und Ansprechpartner.</w:t>
      </w:r>
    </w:p>
    <w:p>
      <w:pPr>
        <w:pStyle w:val="ListBullet"/>
      </w:pPr>
      <w:r>
        <w:rPr>
          <w:b/>
        </w:rPr>
        <w:t>Anspruchsgrundlage</w:t>
      </w:r>
      <w:r>
        <w:t xml:space="preserve">: Netzanschluss nach </w:t>
      </w:r>
      <w:r>
        <w:rPr>
          <w:b/>
        </w:rPr>
        <w:t>§ 17 EnWG</w:t>
      </w:r>
      <w:r>
        <w:t xml:space="preserve"> (allgemeine Anschlusspflicht); die Anlage ist KEINE EE-Anlage i.S.d. § 3 Nr. 21 EEG (Fusion ist nicht im EEG-Katalog) — also kein EEG-Anschlussvorrang nach § 8 EEG, keine Einspeisevergütung, keine Marktprämie. Das gehört deutlich in die Investorenkommunikation (Korrektur zum Call, Aktenstück 01).</w:t>
      </w:r>
    </w:p>
    <w:p>
      <w:pPr>
        <w:pStyle w:val="ListBullet"/>
      </w:pPr>
      <w:r>
        <w:rPr>
          <w:b/>
        </w:rPr>
        <w:t>Netzverträglichkeitsprüfung</w:t>
      </w:r>
      <w:r>
        <w:t xml:space="preserve">: Anschlussbegehren früh stellen; Netzverstärkung (Umspannwerk-Ausbau, ggf. 110-kV-Leitungsneubau 6 km) hat eigene Genehmigungs- und Zeitschiene (Planfeststellung nach § 43 EnWG erst ab 110 kV-Freileitung; Erdkabel prüfen). </w:t>
      </w:r>
      <w:r>
        <w:rPr>
          <w:b/>
        </w:rPr>
        <w:t>Baukostenzuschüsse</w:t>
      </w:r>
      <w:r>
        <w:t xml:space="preserve"> und Netzverstärkungskosten in die Finanzplanung.</w:t>
      </w:r>
    </w:p>
    <w:p>
      <w:pPr>
        <w:pStyle w:val="ListBullet"/>
      </w:pPr>
      <w:r>
        <w:rPr>
          <w:b/>
        </w:rPr>
        <w:t>Phase-0-Bezug</w:t>
      </w:r>
      <w:r>
        <w:t>: Stromliefervertrag mit Großhandelsanbindung; Netzentgelte, individuelle Netzentgelte nach § 19 Abs. 2 StromNEV prüfen (atypische Netznutzung/Bandlast — erhebliches Einsparpotenzial), Umlagen (KWKG, Offshore, § 19-Umlage) budgetieren.</w:t>
      </w:r>
    </w:p>
    <w:p>
      <w:pPr>
        <w:pStyle w:val="Heading2"/>
      </w:pPr>
      <w:r>
        <w:rPr>
          <w:rFonts w:ascii="Times New Roman" w:hAnsi="Times New Roman"/>
        </w:rPr>
        <w:t>2. Einspeiseprofil und Systemdienstleistungen</w:t>
      </w:r>
    </w:p>
    <w:p>
      <w:pPr>
        <w:pStyle w:val="ListBullet"/>
      </w:pPr>
      <w:r>
        <w:t xml:space="preserve">Fusionsanlagen liefern (wenn sie liefern) </w:t>
      </w:r>
      <w:r>
        <w:rPr>
          <w:b/>
        </w:rPr>
        <w:t>Bandlast mit geplanten Wartungsfenstern</w:t>
      </w:r>
      <w:r>
        <w:t xml:space="preserve"> — vermarktungsseitig attraktiv, aber: Demonstrationsbetrieb heißt realistisch häufige ungeplante Nichtverfügbarkeit. PPA-Partner werden Verfügbarkeitsgarantien verlangen, die Phase 1 nicht seriös zusagen kann.</w:t>
      </w:r>
    </w:p>
    <w:p>
      <w:pPr>
        <w:pStyle w:val="ListBullet"/>
      </w:pPr>
      <w:r>
        <w:rPr>
          <w:b/>
        </w:rPr>
        <w:t>Regelbarkeit</w:t>
      </w:r>
      <w:r>
        <w:t>: Lastfolgebetrieb technisch begrenzt (Plasmastabilität) — als Must-Run-Charakteristik im Vermarktungskonzept ausweisen; Redispatch-Fähigkeit (§§ 13, 13a EnWG) mit dem Netzbetreiber klären.</w:t>
      </w:r>
    </w:p>
    <w:p>
      <w:pPr>
        <w:pStyle w:val="ListBullet"/>
      </w:pPr>
      <w:r>
        <w:rPr>
          <w:b/>
        </w:rPr>
        <w:t>Systemdienstleistungen</w:t>
      </w:r>
      <w:r>
        <w:t>: Blindleistung, Schwarzstartfähigkeit (eher nein — Eigenbedarf!), Momentanreserve über Synchrongenerator: als Zusatzerlöse prüfen, nicht versprechen.</w:t>
      </w:r>
    </w:p>
    <w:p>
      <w:pPr>
        <w:pStyle w:val="Heading2"/>
      </w:pPr>
      <w:r>
        <w:rPr>
          <w:rFonts w:ascii="Times New Roman" w:hAnsi="Times New Roman"/>
        </w:rPr>
        <w:t>3. Vermarktungsmodell</w:t>
      </w:r>
    </w:p>
    <w:p>
      <w:pPr>
        <w:pStyle w:val="ListBullet"/>
      </w:pPr>
      <w:r>
        <w:rPr>
          <w:b/>
        </w:rPr>
        <w:t>PPA (Power Purchase Agreement)</w:t>
      </w:r>
      <w:r>
        <w:t>: Corporate PPA mit Industriepartner ist das realistische Modell; Laufzeit 10-15 Jahre, aber: Preisfindung ohne Referenzanlagen schwierig; Verfügbarkeitsrisiko über Floor/Cap und Ersatzbeschaffungsklauseln verteilen.</w:t>
      </w:r>
    </w:p>
    <w:p>
      <w:pPr>
        <w:pStyle w:val="ListBullet"/>
      </w:pPr>
      <w:r>
        <w:rPr>
          <w:b/>
        </w:rPr>
        <w:t>Herkunftsnachweise</w:t>
      </w:r>
      <w:r>
        <w:t>: Fusion fällt nicht unter EE-Herkunftsnachweise (§ 79 EEG, HkRNDV) — "grüner Strom"-Vermarktung derzeit nur als ungeregelte Eigenbehauptung; UBA-Register nicht zugänglich. Greenwashing-Risiko (UWG!) bei Werbung mit "100 % sauber" ohne anerkanntes Label: Werbeaussagen juristisch freigeben lassen.</w:t>
      </w:r>
    </w:p>
    <w:p>
      <w:pPr>
        <w:pStyle w:val="ListBullet"/>
      </w:pPr>
      <w:r>
        <w:rPr>
          <w:b/>
        </w:rPr>
        <w:t>Strompreisbremse/Abschöpfungs-Regime</w:t>
      </w:r>
      <w:r>
        <w:t>: Bei Markterlösen perspektivisch politisches Risiko (Präzedenz Erlösabschöpfung 2022/23) in Szenarien aufnehmen.</w:t>
      </w:r>
    </w:p>
    <w:p>
      <w:pPr>
        <w:pStyle w:val="Heading2"/>
      </w:pPr>
      <w:r>
        <w:rPr>
          <w:rFonts w:ascii="Times New Roman" w:hAnsi="Times New Roman"/>
        </w:rPr>
        <w:t>4. Korrektur der Projektkommunikation</w:t>
      </w:r>
    </w:p>
    <w:p>
      <w:pPr>
        <w:jc w:val="left"/>
      </w:pPr>
      <w:r>
        <w:t>"Grundlast neu erfunden" ist als Werbeslogan haltbar, als Planungsannahme nicht. Für Ministeriumsvorlage (Aktenstück 11) und Bürgerkommunikation (Aktenstück 14): Phase-0-Verbrauchscharakter offen benennen — er ist zugleich das beste Argument für den frühen Netzausbau.</w:t>
      </w:r>
    </w:p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Number"/>
      </w:pPr>
      <w:r>
        <w:t>Anschlussbegehren 110 kV beim VNB stellen (formlos genügt zur Fristauslösung; Netzverträglichkeitsprüfung beauftragen).</w:t>
      </w:r>
    </w:p>
    <w:p>
      <w:pPr>
        <w:pStyle w:val="ListNumber"/>
      </w:pPr>
      <w:r>
        <w:t>Term Sheet Phase-0-Strombezug mit zwei Lieferanten parallel verhandeln; § 19 Abs. 2 StromNEV-Gutachten beauftragen.</w:t>
      </w:r>
    </w:p>
    <w:p>
      <w:pPr>
        <w:pStyle w:val="ListNumber"/>
      </w:pPr>
      <w:r>
        <w:t>PPA-Sondierung mit zwei Industriepartnern unter NDA; keine Verfügbarkeitszusagen vor Ende der Inbetriebnahmephase.</w:t>
      </w:r>
    </w:p>
    <w:p>
      <w:pPr>
        <w:pStyle w:val="ListNumber"/>
      </w:pPr>
      <w:r>
        <w:t>Werbe-Claims ("sauber", "kein Abfall", "Grundlast") durch Legal freigeben — Verzahnung mit Aktenstück 04 (Abfall existiert) und UWG-Risiko.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