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Förderung, IP und Beihilfe</w:t>
      </w:r>
    </w:p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Die Finanzierung kombiniert privates Kapital (Series-B-Runde, 240 Mio. EUR Ziel) mit öffentlicher Förderung: angestrebt sind ein Landeszuschuss (StMWi-Programm), eine Bundesförderung (BMBF/SPRIND-Fusionsprogramm) und mittelfristig EU-Mittel (Euratom/Horizon). Drei Forschungspartner (zwei Universitäten, ein Max-Planck-Institut) bringen Vorarbeiten ein. Offen sind:</w:t>
      </w:r>
    </w:p>
    <w:p>
      <w:pPr>
        <w:pStyle w:val="Heading2"/>
      </w:pPr>
      <w:r>
        <w:rPr>
          <w:rFonts w:ascii="Times New Roman" w:hAnsi="Times New Roman"/>
        </w:rPr>
        <w:t>1. IP-Ordnung</w:t>
      </w:r>
    </w:p>
    <w:p>
      <w:pPr>
        <w:pStyle w:val="ListBullet"/>
      </w:pPr>
      <w:r>
        <w:rPr>
          <w:b/>
        </w:rPr>
        <w:t>Hintergrund-IP der Forschungspartner</w:t>
      </w:r>
      <w:r>
        <w:t xml:space="preserve">: Die Plasma-Regelungssoftware basiert auf Uni-Vorarbeiten (Erfindungsmeldungen nach </w:t>
      </w:r>
      <w:r>
        <w:rPr>
          <w:b/>
        </w:rPr>
        <w:t>§ 42 ArbnErfG</w:t>
      </w:r>
      <w:r>
        <w:t xml:space="preserve"> — Hochschullehrer-Privileg beachten: Anbietungspflicht der Hochschule, nicht des Professors persönlich). Lizenzen sauber von "Background" (bleibt beim Partner, Nutzungsrecht fürs Projekt) und "Foreground" (Projektergebnisse) trennen; Standard: projektbezogenes, unwiderrufliches, unterlizenzierbares Nutzungsrecht + Option auf exklusive kommerzielle Lizenz gegen marktübliche Vergütung.</w:t>
      </w:r>
    </w:p>
    <w:p>
      <w:pPr>
        <w:pStyle w:val="ListBullet"/>
      </w:pPr>
      <w:r>
        <w:rPr>
          <w:b/>
        </w:rPr>
        <w:t>Foreground-Zuordnung</w:t>
      </w:r>
      <w:r>
        <w:t>: Bei gefördertem Verbund verlangen BMBF-Nebenbestimmungen (NKBF) Verwertungsrechte und Verwertungsplan; Exklusivlizenzen an die SE sind möglich, aber die Partner behalten Forschungs- und Lehrnutzung. Verwertungspflicht ernst nehmen: Nichtverwertung kann Rückforderung auslösen.</w:t>
      </w:r>
    </w:p>
    <w:p>
      <w:pPr>
        <w:pStyle w:val="ListBullet"/>
      </w:pPr>
      <w:r>
        <w:rPr>
          <w:b/>
        </w:rPr>
        <w:t>Erfindervergütung</w:t>
      </w:r>
      <w:r>
        <w:t>: Diensterfindungen der SE-Mitarbeiter nach ArbnErfG-Richtlinien budgetieren; bei Schlüsselpatenten (supraleitende Magnete, Divertor-Design) Vergütungsvereinbarungen VOR dem Exit schließen — Streit nach Wertsteigerung wird teuer.</w:t>
      </w:r>
    </w:p>
    <w:p>
      <w:pPr>
        <w:pStyle w:val="Heading2"/>
      </w:pPr>
      <w:r>
        <w:rPr>
          <w:rFonts w:ascii="Times New Roman" w:hAnsi="Times New Roman"/>
        </w:rPr>
        <w:t>2. Exportkontrolle</w:t>
      </w:r>
    </w:p>
    <w:p>
      <w:pPr>
        <w:pStyle w:val="ListBullet"/>
      </w:pPr>
      <w:r>
        <w:t xml:space="preserve">Fusionstechnologie berührt </w:t>
      </w:r>
      <w:r>
        <w:rPr>
          <w:b/>
        </w:rPr>
        <w:t>Dual-Use-Listen</w:t>
      </w:r>
      <w:r>
        <w:t xml:space="preserve">: supraleitende Magnete, Tritium-Handling, Hochleistungs-Gyrotrons sind teils in Anhang I der </w:t>
      </w:r>
      <w:r>
        <w:rPr>
          <w:b/>
        </w:rPr>
        <w:t>Dual-Use-VO (EU) 2021/821</w:t>
      </w:r>
      <w:r>
        <w:t xml:space="preserve"> gelistet (Kategorien 0/1/3); Tritium selbst ist gelistet.</w:t>
      </w:r>
    </w:p>
    <w:p>
      <w:pPr>
        <w:pStyle w:val="ListBullet"/>
      </w:pPr>
      <w:r>
        <w:t xml:space="preserve">Folgen: Ausfuhrgenehmigungspflichten (BAFA) auch für </w:t>
      </w:r>
      <w:r>
        <w:rPr>
          <w:b/>
        </w:rPr>
        <w:t>Technologietransfer</w:t>
      </w:r>
      <w:r>
        <w:t xml:space="preserve"> an ausländische Partner und ggf. für Cloud-Zugriffe ausländischer Mitarbeiter auf Konstruktionsdaten ("deemed export"-Logik der technischen Unterstützung, §§ 49 ff. AWV). Investoren-Due-Diligence: Der geplante Einstieg eines außereuropäischen Ankerinvestors löst zusätzlich </w:t>
      </w:r>
      <w:r>
        <w:rPr>
          <w:b/>
        </w:rPr>
        <w:t>Investitionsprüfung nach §§ 55 ff. AWV</w:t>
      </w:r>
      <w:r>
        <w:t xml:space="preserve"> aus (sensitive Technologie — Meldepflicht prüfen, Erwerbsschwellen 10/20 %).</w:t>
      </w:r>
    </w:p>
    <w:p>
      <w:pPr>
        <w:pStyle w:val="ListBullet"/>
      </w:pPr>
      <w:r>
        <w:t>Compliance-Programm (ICP) vor der ersten Auslandskooperation aufsetzen; Verantwortlichen benennen.</w:t>
      </w:r>
    </w:p>
    <w:p>
      <w:pPr>
        <w:pStyle w:val="Heading2"/>
      </w:pPr>
      <w:r>
        <w:rPr>
          <w:rFonts w:ascii="Times New Roman" w:hAnsi="Times New Roman"/>
        </w:rPr>
        <w:t>3. Beihilferecht</w:t>
      </w:r>
    </w:p>
    <w:p>
      <w:pPr>
        <w:pStyle w:val="ListBullet"/>
      </w:pPr>
      <w:r>
        <w:t xml:space="preserve">Zuschüsse von Land/Bund sind </w:t>
      </w:r>
      <w:r>
        <w:rPr>
          <w:b/>
        </w:rPr>
        <w:t>staatliche Beihilfen (Art. 107 AEUV)</w:t>
      </w:r>
      <w:r>
        <w:t xml:space="preserve">. Gestaltungspfade: </w:t>
      </w:r>
      <w:r>
        <w:rPr>
          <w:b/>
        </w:rPr>
        <w:t>AGVO</w:t>
      </w:r>
      <w:r>
        <w:t xml:space="preserve"> (VO (EU) 651/2014, Art. 25 FuEuI-Beihilfen — Förderintensitäten je nach Forschungskategorie: Grundlagenforschung bis 100 %, industrielle Forschung bis 50 %+Aufschläge, experimentelle Entwicklung bis 25 %+Aufschläge) oder </w:t>
      </w:r>
      <w:r>
        <w:rPr>
          <w:b/>
        </w:rPr>
        <w:t>Einzelnotifizierung</w:t>
      </w:r>
      <w:r>
        <w:t xml:space="preserve"> bei Überschreiten der Anmeldeschwellen (Art. 4 AGVO: experimentelle Entwicklung 25 Mio. EUR je Vorhaben — bei den hiesigen Summen wahrscheinlich überschritten → Notifizierung nach dem </w:t>
      </w:r>
      <w:r>
        <w:rPr>
          <w:b/>
        </w:rPr>
        <w:t>FuEuI-Unionsrahmen 2022</w:t>
      </w:r>
      <w:r>
        <w:t xml:space="preserve"> einplanen, Verfahrensdauer 6-12 Monate).</w:t>
      </w:r>
    </w:p>
    <w:p>
      <w:pPr>
        <w:pStyle w:val="ListBullet"/>
      </w:pPr>
      <w:r>
        <w:rPr>
          <w:b/>
        </w:rPr>
        <w:t>Kumulierung</w:t>
      </w:r>
      <w:r>
        <w:t>: Land + Bund + EU auf dasselbe Vorhaben — Kumulierungsregeln (Art. 8 AGVO) und beihilfefähige Kosten sauber abgrenzen; doppelte Förderung derselben Kostenposition ist der klassische Rückforderungsfall.</w:t>
      </w:r>
    </w:p>
    <w:p>
      <w:pPr>
        <w:pStyle w:val="ListBullet"/>
      </w:pPr>
      <w:r>
        <w:rPr>
          <w:b/>
        </w:rPr>
        <w:t>Rückforderung bei Scheitern</w:t>
      </w:r>
      <w:r>
        <w:t>: Zuwendungsbescheide enthalten auflösende Bedingungen/Widerrufsvorbehalte (§§ 48, 49, 49a VwVfG): Mittelverwendung, Verwertungspflicht, Standortbindung (häufig 5 Jahre). Szenario "Projektabbruch nach Phase 1" durchrechnen: Rückforderung + Zinsen; Rückstellungen und Investoren-Disclosure.</w:t>
      </w:r>
    </w:p>
    <w:p>
      <w:pPr>
        <w:pStyle w:val="ListBullet"/>
      </w:pPr>
      <w:r>
        <w:rPr>
          <w:b/>
        </w:rPr>
        <w:t>Transparenzpflichten</w:t>
      </w:r>
      <w:r>
        <w:t>: Veröffentlichung in der EU-Beihilfentransparenzdatenbank ab 100.000 EUR; Berichtspflichten in den Nebenbestimmungen.</w:t>
      </w:r>
    </w:p>
    <w:p>
      <w:pPr>
        <w:pStyle w:val="Heading2"/>
      </w:pPr>
      <w:r>
        <w:rPr>
          <w:rFonts w:ascii="Times New Roman" w:hAnsi="Times New Roman"/>
        </w:rPr>
        <w:t>4. Verzahnung mit der Investorenseite</w:t>
      </w:r>
    </w:p>
    <w:p>
      <w:pPr>
        <w:jc w:val="left"/>
      </w:pPr>
      <w:r>
        <w:t>Term Sheet der Series B verlangt "clean IP und keine Subventionsrisiken" — beides ist in dieser Frühphase nicht zusagbar. Formulierungsvorschlag für die Garantienliste: Aufzählung der bekannten Förderbescheide mit Nebenbestimmungen als Disclosure statt Garantie; IP-Garantie beschränkt auf "keine Kenntnis entgegenstehender Rechte Dritter" plus laufende FTO-Analyse (Patentlandschaft Magnettechnologie: dicht — zwei einschlägige Familien eines US-Wettbewerbers in der Akte vermerkt).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Number"/>
      </w:pPr>
      <w:r>
        <w:t>Konsortialvertrag mit den drei Forschungspartnern (Background/Foreground/Publikationsregeln/Vergütung) binnen 10 Wochen.</w:t>
      </w:r>
    </w:p>
    <w:p>
      <w:pPr>
        <w:pStyle w:val="ListNumber"/>
      </w:pPr>
      <w:r>
        <w:t>Beihilfe-Roadmap: AGVO-Check je Fördertopf, Notifizierungsentscheidung mit StMWi abstimmen.</w:t>
      </w:r>
    </w:p>
    <w:p>
      <w:pPr>
        <w:pStyle w:val="ListNumber"/>
      </w:pPr>
      <w:r>
        <w:t>BAFA-Voranfrage zu Gyrotron- und Tritium-Komponenten; ICP-Grundgerüst.</w:t>
      </w:r>
    </w:p>
    <w:p>
      <w:pPr>
        <w:pStyle w:val="ListNumber"/>
      </w:pPr>
      <w:r>
        <w:t>AWV-Meldepflicht für den Ankerinvestor prüfen, bevor das Term Sheet unterschrieben wird.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