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Isarstern: Kernfusion, Transrapid-Anschluss und Raumordnungschaos“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 angeblicher Fusionsdurchbruch soll mit Transrapid-Anschluss am Starnberger See gebaut werden; Energie-, Bau-, Sicherheits- und Akzeptanzfragen explodieren gleichzeitig.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Atomrechtliche Abgrenzung, Strahlenschutzrecht, BauGB, BayBO, Raumordnung, UVPG, EnWG, KRITIS/BSI, Planfeststellung und Öffentlichkeitsbeteiligung.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