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Isarstern: Kernfusion, Transrapid-Anschluss und Raumordnungschaos</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angeblicher Fusionsdurchbruch soll mit Transrapid-Anschluss am Starnberger See gebaut werden; Energie-, Bau-, Sicherheits- und Akzeptanzfragen explodieren gleichzeitig.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Atomrechtliche Abgrenzung, Strahlenschutzrecht, BauGB, BayBO, Raumordnung, UVPG, EnWG, KRITIS/BSI, Planfeststellung und Öffentlichkeitsbeteiligung.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