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Sicherheitsbeirat — Protokollauszug</w:t>
      </w:r>
    </w:p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Technischer Entwicklungsstand.</w:t>
      </w:r>
    </w:p>
    <w:p>
      <w:pPr>
        <w:pStyle w:val="ListNumber"/>
      </w:pPr>
      <w:r>
        <w:t>Neutronenaktivierung und Materialkreislauf.</w:t>
      </w:r>
    </w:p>
    <w:p>
      <w:pPr>
        <w:pStyle w:val="ListNumber"/>
      </w:pPr>
      <w:r>
        <w:t>Tritium-/Wasserstofflogistik.</w:t>
      </w:r>
    </w:p>
    <w:p>
      <w:pPr>
        <w:pStyle w:val="ListNumber"/>
      </w:pPr>
      <w:r>
        <w:t>Abschirmung, Dosisüberwachung, Zutritt.</w:t>
      </w:r>
    </w:p>
    <w:p>
      <w:pPr>
        <w:pStyle w:val="ListNumber"/>
      </w:pPr>
      <w:r>
        <w:t>Notfallplanung und Katastrophenschutz.</w:t>
      </w:r>
    </w:p>
    <w:p>
      <w:pPr>
        <w:pStyle w:val="ListNumber"/>
      </w:pPr>
      <w:r>
        <w:t>Transrapid-Schnittstelle.</w:t>
      </w:r>
    </w:p>
    <w:p>
      <w:pPr>
        <w:pStyle w:val="Heading2"/>
      </w:pPr>
      <w:r>
        <w:rPr>
          <w:rFonts w:ascii="Times New Roman" w:hAnsi="Times New Roman"/>
        </w:rPr>
        <w:t>Kernaussagen</w:t>
      </w:r>
    </w:p>
    <w:p>
      <w:pPr>
        <w:jc w:val="left"/>
      </w:pPr>
      <w:r>
        <w:t>Der technische Partner erklärt, die Anlage könne ohne Kettenreaktion nicht 'durchgehen'. Der externe Sachverständige hält das zwar für plausibel, warnt aber: fehlende Kettenreaktion ersetzt keine Nachweise zu Strahlenschutz, Aktivierung, Stoffführung, Wartung, Rückbau und Notfallmanagement.</w:t>
      </w:r>
    </w:p>
    <w:p>
      <w:pPr>
        <w:pStyle w:val="Heading2"/>
      </w:pPr>
      <w:r>
        <w:rPr>
          <w:rFonts w:ascii="Times New Roman" w:hAnsi="Times New Roman"/>
        </w:rPr>
        <w:t>Beschlüsse</w:t>
      </w:r>
    </w:p>
    <w:p>
      <w:pPr>
        <w:pStyle w:val="ListBullet"/>
      </w:pPr>
      <w:r>
        <w:t>Stoff- und Strahlenmatrix bis 30.06.2026.</w:t>
      </w:r>
    </w:p>
    <w:p>
      <w:pPr>
        <w:pStyle w:val="ListBullet"/>
      </w:pPr>
      <w:r>
        <w:t>Sicherheitsgutachten durch unabhängige Stelle.</w:t>
      </w:r>
    </w:p>
    <w:p>
      <w:pPr>
        <w:pStyle w:val="ListBullet"/>
      </w:pPr>
      <w:r>
        <w:t>Keine Öffentlichkeitsveranstaltung vor Erstbewertung.</w:t>
      </w:r>
    </w:p>
    <w:p>
      <w:pPr>
        <w:pStyle w:val="ListBullet"/>
      </w:pPr>
      <w:r>
        <w:t>Trennung des Fusions- und Transrapid-Sicherheitskonzepts.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