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IP- und Fördermittelmatrix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Nächster Schritt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Grundpatente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Zürich hält mehrere Anmeldungen, deutsche Projektgesellschaft nur Optionsrechte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Nutzungsrechte für Betrieb nicht gesichert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Lizenzvertrag und Freedom-to-Operate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Forschungspartner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TU-Konsortium will Publikationsrechte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Know-how-Leakage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Publikations- und Geheimschutzprozess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Fördermittel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Bundes-/Landesförderung angefragt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Beihilfe, Rückforderung, Vergabeauflagen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Förderbescheid-Entwurf und Nebenbestimmungen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Exportkontrolle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Magnete, Hochleistungselektronik, Sensorik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Dual-Use/Know-how-Transfer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BAFA-/EU-Screening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Transrapid-IP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Altrechte unklar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Marken-/Patent-/Know-how-Streit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Rechtekette aufarbeiten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Kurzbefund</w:t>
      </w:r>
    </w:p>
    <w:p>
      <w:pPr>
        <w:jc w:val="left"/>
      </w:pPr>
      <w:r>
        <w:t>Das Projekt darf Fördermittel, IP und Exportkontrolle nicht getrennt behandeln. Gerade bei Hochtechnologie entscheidet die Rechtekette darüber, ob eine genehmigte Anlage überhaupt wirtschaftlich betrieben werden kann.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