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Kernfusion und Transrapid am Starnberger See</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Fusion/Strahlenschutz, Raumordnung, Planfeststellung, Bauleitplanung, Naturschutz, KRITIS, Sicherheitskonzept, Akzeptanz und Rückbau.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