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Pflichtenmatrix — Betreiberpflichten nach Art. 9 ff. KI-VO je Fachbereich</w:t>
      </w:r>
    </w:p>
    <w:p>
      <w:pPr>
        <w:jc w:val="left"/>
      </w:pPr>
      <w:r>
        <w:rPr>
          <w:b/>
        </w:rPr>
        <w:t>Aktenzeichen:</w:t>
      </w:r>
      <w:r>
        <w:t xml:space="preserve"> TI-KI-2026-009</w:t>
      </w:r>
    </w:p>
    <w:p>
      <w:pPr>
        <w:jc w:val="left"/>
      </w:pPr>
      <w:r>
        <w:rPr>
          <w:b/>
        </w:rPr>
        <w:t>Dokumentversion:</w:t>
      </w:r>
      <w:r>
        <w:t xml:space="preserve"> 1.2</w:t>
      </w:r>
    </w:p>
    <w:p>
      <w:pPr>
        <w:jc w:val="left"/>
      </w:pPr>
      <w:r>
        <w:rPr>
          <w:b/>
        </w:rPr>
        <w:t>Erstellungsdatum:</w:t>
      </w:r>
      <w:r>
        <w:t xml:space="preserve"> 20. Januar 2026</w:t>
      </w:r>
    </w:p>
    <w:p>
      <w:pPr>
        <w:jc w:val="left"/>
      </w:pPr>
      <w:r>
        <w:rPr>
          <w:b/>
        </w:rPr>
        <w:t>Verfasser:</w:t>
      </w:r>
      <w:r>
        <w:t xml:space="preserve"> Annegret Kühnhausen (CCO); Dr. Falk Roosendaal</w:t>
      </w:r>
    </w:p>
    <w:p>
      <w:pPr>
        <w:jc w:val="left"/>
      </w:pPr>
      <w:r>
        <w:rPr>
          <w:b/>
        </w:rPr>
        <w:t>Stand: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Einleitung</w:t>
      </w:r>
    </w:p>
    <w:p>
      <w:pPr>
        <w:jc w:val="left"/>
      </w:pPr>
      <w:r>
        <w:t>Diese Pflichtenmatrix weist die Betreiberpflichten (Deployer-Pflichten) nach Art. 9 ff. KI-VO sowie Art. 26 KI-VO für die Hochrisiko-KI-Systeme der Thalheim Industries SE den verantwortlichen Fachbereichen zu. Die Matrix dient als Arbeitsgrundlage für die Konformitätsherstellung bis 02.08.2026.</w:t>
      </w:r>
    </w:p>
    <w:p>
      <w:pPr>
        <w:jc w:val="left"/>
      </w:pPr>
      <w:r>
        <w:rPr>
          <w:b/>
        </w:rPr>
        <w:t>Rechtsgrundlagen (Auszug):</w:t>
      </w:r>
    </w:p>
    <w:p>
      <w:pPr>
        <w:pStyle w:val="ListBullet"/>
      </w:pPr>
      <w:r>
        <w:t>Art. 9 KI-VO — Risikomanagementsystem: https://dejure.org/gesetze/KIVO/9.html</w:t>
      </w:r>
    </w:p>
    <w:p>
      <w:pPr>
        <w:pStyle w:val="ListBullet"/>
      </w:pPr>
      <w:r>
        <w:t>Art. 26 KI-VO — Pflichten von Betreibern: https://dejure.org/gesetze/KIVO/26.html</w:t>
      </w:r>
    </w:p>
    <w:p>
      <w:pPr>
        <w:pStyle w:val="ListBullet"/>
      </w:pPr>
      <w:r>
        <w:t>Art. 35 DSGVO — Datenschutz-Folgenabschätzung: https://dejure.org/gesetze/DSGVO/35.html</w:t>
      </w:r>
    </w:p>
    <w:p>
      <w:pPr>
        <w:jc w:val="left"/>
      </w:pPr>
      <w:r>
        <w:rPr>
          <w:b/>
        </w:rPr>
        <w:t>Fokus:</w:t>
      </w:r>
      <w:r>
        <w:t xml:space="preserve"> RecruitAI (Hochrisiko, Anh. III Nr. 4a) und CreditVision Score (Hochrisiko, Anh. III Nr. 5b). Für PredictMaint, CodeAssist und ServiceBot gelten vereinfachte Anforderungen (vgl. Abschnitt 5).</w:t>
      </w:r>
    </w:p>
    <w:p/>
    <w:p>
      <w:pPr>
        <w:pStyle w:val="Heading2"/>
      </w:pPr>
      <w:r>
        <w:rPr>
          <w:rFonts w:ascii="Times New Roman" w:hAnsi="Times New Roman"/>
        </w:rPr>
        <w:t>2. Pflichtenkatalog Hochrisiko-Systeme</w:t>
      </w:r>
    </w:p>
    <w:p>
      <w:pPr>
        <w:pStyle w:val="Heading3"/>
      </w:pPr>
      <w:r>
        <w:rPr>
          <w:rFonts w:ascii="Times New Roman" w:hAnsi="Times New Roman"/>
        </w:rPr>
        <w:t>2.1 Pflichtensteckbrief RecruitAI</w:t>
      </w:r>
    </w:p>
    <w:p>
      <w:pPr>
        <w:jc w:val="left"/>
      </w:pPr>
      <w:r>
        <w:rPr>
          <w:b/>
        </w:rPr>
        <w:t>System:</w:t>
      </w:r>
      <w:r>
        <w:t xml:space="preserve"> RecruitAI — Recruiting-Screening-Tool</w:t>
      </w:r>
    </w:p>
    <w:p>
      <w:pPr>
        <w:jc w:val="left"/>
      </w:pPr>
      <w:r>
        <w:rPr>
          <w:b/>
        </w:rPr>
        <w:t>Vendor:</w:t>
      </w:r>
      <w:r>
        <w:t xml:space="preserve"> Synaptec Analytics GmbH</w:t>
      </w:r>
    </w:p>
    <w:p>
      <w:pPr>
        <w:jc w:val="left"/>
      </w:pPr>
      <w:r>
        <w:rPr>
          <w:b/>
        </w:rPr>
        <w:t>Betreiber (Deployer):</w:t>
      </w:r>
      <w:r>
        <w:t xml:space="preserve"> Thalheim Industries SE, Fachbereich HR</w:t>
      </w:r>
    </w:p>
    <w:p>
      <w:pPr>
        <w:jc w:val="left"/>
      </w:pPr>
      <w:r>
        <w:rPr>
          <w:b/>
        </w:rPr>
        <w:t>Interne Systemverantwortliche:</w:t>
      </w:r>
      <w:r>
        <w:t xml:space="preserve"> Barbara Trenkmann (Leiterin HR-Systeme)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Art. KI-VO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 (März 2026)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Risikomanagementsystem dokumentieren und aufrechterhalten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 / Compliance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9 Abs.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Bias-Tests durchführen (Diskriminierung, Fairness)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 / IT / Audit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Offen — Mangel festgestellt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Daten-Governance prüfen (Trainings- u. Aktenstand)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CDO / 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Teilweise 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Technische Dokumentation vollständig? (Vendor-Dokument)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CIO / Vendor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Synaptec-Unterlagen angefordert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Protokollierungspflicht aktiviert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 / CIO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Umgesetzt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Gebrauchsanweisung vorhanden und verständlich?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(DE-Version Synaptec)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Menschliche Aufsicht implementiert (technisch + organisatorisch)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 / 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Konzept in Erarbeitung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14 Abs.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HR-Entscheider kann System abschalten / überstimmen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Technisch möglich, SOP fehlt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Genauigkeit, Robustheit und Cybersicherheit testen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IT-Security / CIO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Pentest 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26 Abs.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Betreiber informiert Behörden bei Vorfällen (Art. 73 KI-VO)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Prozess definiert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26 Abs.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Betreiber meldet Konformitätsmängel an Marktüberwachung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Meldepflicht aktuell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35 DSGVO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DPIA durchgeführt und vorliegend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DSB Dr. Eichenmüller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Erarbeitung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22 DSGVO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Automatisierte Entscheidung: Recht auf Erklärung umgesetzt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 / DSB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Kandidatenmitteilung angepasst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87 BetrVG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Mitbestimmung: Betriebsvereinbarung abgeschlossen?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 / Betriebsrat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 Rollout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Offen — BR blockiert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2.2 Pflichtensteckbrief CreditVision Score</w:t>
      </w:r>
    </w:p>
    <w:p>
      <w:pPr>
        <w:jc w:val="left"/>
      </w:pPr>
      <w:r>
        <w:rPr>
          <w:b/>
        </w:rPr>
        <w:t>System:</w:t>
      </w:r>
      <w:r>
        <w:t xml:space="preserve"> CreditVision Score — Kreditscoring-Modul</w:t>
      </w:r>
    </w:p>
    <w:p>
      <w:pPr>
        <w:jc w:val="left"/>
      </w:pPr>
      <w:r>
        <w:rPr>
          <w:b/>
        </w:rPr>
        <w:t>Vendor:</w:t>
      </w:r>
      <w:r>
        <w:t xml:space="preserve"> CreditVision AG</w:t>
      </w:r>
    </w:p>
    <w:p>
      <w:pPr>
        <w:jc w:val="left"/>
      </w:pPr>
      <w:r>
        <w:rPr>
          <w:b/>
        </w:rPr>
        <w:t>Betreiber (Deployer):</w:t>
      </w:r>
      <w:r>
        <w:t xml:space="preserve"> Thalheim Industries SE, Fachbereich Finanzierung / Vertrieb</w:t>
      </w:r>
    </w:p>
    <w:p>
      <w:pPr>
        <w:jc w:val="left"/>
      </w:pPr>
      <w:r>
        <w:rPr>
          <w:b/>
        </w:rPr>
        <w:t>Interne Systemverantwortliche:</w:t>
      </w:r>
      <w:r>
        <w:t xml:space="preserve"> Rolf Haselmann (Leiter Kundenfinanzierung)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Art. KI-VO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 (März 2026)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Risikomanagementsystem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 / Compliance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 CreditVision erhalten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9 Abs.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Bias-Tests Kreditvergabe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 / CDO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CreditVision-Auskunft 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Daten-Governance: Kunden-Trainingsdaten geprüft?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CDO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 — in Prüfung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Technische Dokumentation (Vendor)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 / CIO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Unterlagen CreditVision unvollständig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Protokollierung aktiviert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Umgesetzt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Gebrauchsanweisung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Menschliche Aufsicht: Kreditentscheider hat Letztentscheid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Ja, prozessual verankert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22 DSGVO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Automatisierte Einzelentscheidung: Widerspruchsrecht informiert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 / DSB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Datenschutzhinweis aktualisiert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43 Abs.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Interne Konformitätsbewertung (durch Auditor begleitet)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 / Hagedorn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Audit geplant Mai 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BaFin GZ BJ 24-K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an BaFin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 / Borchmann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87 BetrVG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Mitbestimmung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 / Betriebsrat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 Rollout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Offen — BR blockiert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Fachbereichsverantwortlichkeiten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Fachbereich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KI-System(e)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Ansprechpartner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Kernpflicht bis 02.08.2026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 / Personal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RecruitAI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Barbara Trenkmann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 Aufsicht; Art. 9 Bias-Tests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Kundenfinanzierung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CreditVision Score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Rolf Haselmann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 Aufsicht; Art. 22 DSGVO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 / Digital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PredictMaint, CodeAssist, ServiceBot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Marcus Petersen (CDO)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Transparenzpflichten Art. 50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Annegret Kühnhausen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Koordination, Behördenkontakt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RecruitAI (DPIA)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Carla Eichenmüller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35 DSGVO bis 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Revision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Franz-Josef Brammer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Kontrolle, Schatten-KI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Eskalationsmatrix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Auslöser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Eskalationspfad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Bias-Test-Mangel RecruitAI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Feststellung Auditor Hagedorn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→ CIO → CEO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 (eskaliert am 28.02.2026)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BaFin-Anfrage CreditVision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 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→ CFO → CEO, extern Borchmann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BR-Blockade Rollout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BR-Schreiben 05.01.2026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→ CEO → Einigung oder LAG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OpenAI-Doku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CDO-Meldung 15.02.2026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CDO → CCO → Vendor-Eskalation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DPIA nicht fristgerecht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LfDI-Aufforderung 02.03.2026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DSB → CCO → CEO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Pflichten begrenztes Risiko (ServiceBot, PredictMaint, CodeAssist)</w:t>
      </w:r>
    </w:p>
    <w:p>
      <w:pPr>
        <w:jc w:val="left"/>
      </w:pPr>
      <w:r>
        <w:t>Für Systeme mit begrenztem Risiko gelten folgende Mindestanforderungen: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Eintrag KI-Inventar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Leitlinie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Transparenz-Hinweis (ServiceBot)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50 Abs. 1 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Umgesetzt seit 01.02.2025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Kennzeichnung KI-Inhalte (CodeAssist)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50 Abs. 2 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läuft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DSB-Empfehlung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Jährliche Überprüfung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Leitlinie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 Q4 2026</w:t>
            </w:r>
          </w:p>
        </w:tc>
      </w:tr>
    </w:tbl>
    <w:p/>
    <w:p>
      <w:pPr>
        <w:jc w:val="left"/>
      </w:pPr>
      <w:r>
        <w:rPr>
          <w:i/>
        </w:rPr>
        <w:t>Aktenzeichen: TI-KI-2026-009. Verfasser: A. Kühnhausen, Dr. F. Roosendaal. Stand: März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