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Betriebsvereinbarung KI-Systeme — Entwurf</w:t>
      </w:r>
    </w:p>
    <w:p>
      <w:pPr>
        <w:jc w:val="left"/>
      </w:pPr>
      <w:r>
        <w:rPr>
          <w:b/>
        </w:rPr>
        <w:t>Aktenzeichen:</w:t>
      </w:r>
      <w:r>
        <w:t xml:space="preserve"> TI-KI-2026-009 (Anlage)</w:t>
      </w:r>
    </w:p>
    <w:p>
      <w:pPr>
        <w:jc w:val="left"/>
      </w:pPr>
      <w:r>
        <w:rPr>
          <w:b/>
        </w:rPr>
        <w:t>Dokumentversion:</w:t>
      </w:r>
      <w:r>
        <w:t xml:space="preserve"> 0.5 (Verhandlungsstand 08. April 2026)</w:t>
      </w:r>
    </w:p>
    <w:p>
      <w:pPr>
        <w:jc w:val="left"/>
      </w:pPr>
      <w:r>
        <w:rPr>
          <w:b/>
        </w:rPr>
        <w:t>Zwischen:</w:t>
      </w:r>
      <w:r>
        <w:t xml:space="preserve"> Thalheim Industries SE (vertreten durch CCO Annegret Kühnhausen) und dem Betriebsrat der Thalheim Industries SE (vertreten durch Vorsitzenden Norbert Schäpers)</w:t>
      </w:r>
    </w:p>
    <w:p>
      <w:pPr>
        <w:jc w:val="left"/>
      </w:pPr>
      <w:r>
        <w:rPr>
          <w:b/>
        </w:rPr>
        <w:t>Status:</w:t>
      </w:r>
      <w:r>
        <w:t xml:space="preserve"> Entwurf; noch nicht unterzeichnet; Verhandlungen laufen</w:t>
      </w:r>
    </w:p>
    <w:p/>
    <w:p>
      <w:pPr>
        <w:pStyle w:val="Heading2"/>
      </w:pPr>
      <w:r>
        <w:rPr>
          <w:rFonts w:ascii="Times New Roman" w:hAnsi="Times New Roman"/>
        </w:rPr>
        <w:t>Präambel</w:t>
      </w:r>
    </w:p>
    <w:p>
      <w:pPr>
        <w:jc w:val="left"/>
      </w:pPr>
      <w:r>
        <w:t>Die Thalheim Industries SE setzt im Rahmen ihrer Geschäftstätigkeit KI-gestützte Systeme ein, darunter Hochrisiko-KI-Systeme nach Anhang III der Verordnung (EU) 2024/1689 (KI-Verordnung). Der Betriebsrat macht sein Mitbestimmungsrecht nach § 87 Abs. 1 Nr. 6 BetrVG (https://dejure.org/gesetze/BetrVG/87.html) geltend, da KI-Systeme technische Einrichtungen im Sinne dieser Vorschrift darstellen, die zur Überwachung des Verhaltens oder der Leistung der Arbeitnehmer bestimmt oder geeignet sind.</w:t>
      </w:r>
    </w:p>
    <w:p>
      <w:pPr>
        <w:jc w:val="left"/>
      </w:pPr>
      <w:r>
        <w:t>Arbeitgeber und Betriebsrat sind sich einig, dass der Einsatz von KI-Systemen transparent, fair und unter Wahrung der Persönlichkeitsrechte der Beschäftigten erfolgen muss. Diese Betriebsvereinbarung regelt die Einführung, den Betrieb und die Überwachung von KI-Systemen, die auf Beschäftigte oder ihre Daten einwirken.</w:t>
      </w:r>
    </w:p>
    <w:p/>
    <w:p>
      <w:pPr>
        <w:pStyle w:val="Heading2"/>
      </w:pPr>
      <w:r>
        <w:rPr>
          <w:rFonts w:ascii="Times New Roman" w:hAnsi="Times New Roman"/>
        </w:rPr>
        <w:t>§ 1 Geltungsbereich</w:t>
      </w:r>
    </w:p>
    <w:p>
      <w:pPr>
        <w:jc w:val="left"/>
      </w:pPr>
      <w:r>
        <w:t>Diese Betriebsvereinbarung gilt für alle KI-Systeme der Thalheim Industries SE, die:</w:t>
      </w:r>
    </w:p>
    <w:p>
      <w:pPr>
        <w:pStyle w:val="ListNumber"/>
      </w:pPr>
      <w:r>
        <w:t>Beschäftigtendaten verarbeiten oder auswerten,</w:t>
      </w:r>
    </w:p>
    <w:p>
      <w:pPr>
        <w:pStyle w:val="ListNumber"/>
      </w:pPr>
      <w:r>
        <w:t>Entscheidungen über Beschäftigte (Einstellung, Beförderung, Leistungsbewertung) unterstützen oder treffen,</w:t>
      </w:r>
    </w:p>
    <w:p>
      <w:pPr>
        <w:pStyle w:val="ListNumber"/>
      </w:pPr>
      <w:r>
        <w:t>Verhaltens- oder Leistungsdaten von Beschäftigten analysieren.</w:t>
      </w:r>
    </w:p>
    <w:p>
      <w:pPr>
        <w:jc w:val="left"/>
      </w:pPr>
      <w:r>
        <w:rPr>
          <w:b/>
        </w:rPr>
        <w:t>Ausdrücklich erfasst:</w:t>
      </w:r>
      <w:r>
        <w:t xml:space="preserve"> RecruitAI (Recruiting-Screening), CreditVision Score (soweit Beschäftigte betroffen sind), Analyse-Tools im HR-Bereich.</w:t>
      </w:r>
    </w:p>
    <w:p>
      <w:pPr>
        <w:jc w:val="left"/>
      </w:pPr>
      <w:r>
        <w:rPr>
          <w:b/>
        </w:rPr>
        <w:t>Ausdrücklich nicht erfasst:</w:t>
      </w:r>
      <w:r>
        <w:t xml:space="preserve"> PredictMaint (keine Beschäftigtendaten), ServiceBot (keine Beschäftigtendaten), CodeAssist (soweit nur für Entwickler-Support).</w:t>
      </w:r>
    </w:p>
    <w:p/>
    <w:p>
      <w:pPr>
        <w:pStyle w:val="Heading2"/>
      </w:pPr>
      <w:r>
        <w:rPr>
          <w:rFonts w:ascii="Times New Roman" w:hAnsi="Times New Roman"/>
        </w:rPr>
        <w:t>§ 2 Informationspflichten des Arbeitgebers</w:t>
      </w:r>
    </w:p>
    <w:p>
      <w:pPr>
        <w:jc w:val="left"/>
      </w:pPr>
      <w:r>
        <w:rPr>
          <w:b/>
        </w:rPr>
        <w:t>§ 2 Abs. 1:</w:t>
      </w:r>
      <w:r>
        <w:t xml:space="preserve"> Der Arbeitgeber informiert den Betriebsrat vor der Einführung, wesentlichen Änderung oder dem Einsatz neuer KI-Systeme im Sinne von § 1 mindestens sechs Wochen vor dem geplanten Einsatz.</w:t>
      </w:r>
    </w:p>
    <w:p>
      <w:pPr>
        <w:jc w:val="left"/>
      </w:pPr>
      <w:r>
        <w:rPr>
          <w:b/>
        </w:rPr>
        <w:t>§ 2 Abs. 2:</w:t>
      </w:r>
      <w:r>
        <w:t xml:space="preserve"> Die Unterrichtung umfasst:</w:t>
      </w:r>
    </w:p>
    <w:p>
      <w:pPr>
        <w:pStyle w:val="ListBullet"/>
      </w:pPr>
      <w:r>
        <w:t>Zweck und Funktionsweise des KI-Systems in verständlicher Sprache;</w:t>
      </w:r>
    </w:p>
    <w:p>
      <w:pPr>
        <w:pStyle w:val="ListBullet"/>
      </w:pPr>
      <w:r>
        <w:t>Beschreibung der verarbeiteten Datenkategorien und Betroffenengruppen;</w:t>
      </w:r>
    </w:p>
    <w:p>
      <w:pPr>
        <w:pStyle w:val="ListBullet"/>
      </w:pPr>
      <w:r>
        <w:t>Risikoklassifikation nach KI-VO;</w:t>
      </w:r>
    </w:p>
    <w:p>
      <w:pPr>
        <w:pStyle w:val="ListBullet"/>
      </w:pPr>
      <w:r>
        <w:t>Ergebnis der Datenschutz-Folgenabschätzung (sofern durchgeführt);</w:t>
      </w:r>
    </w:p>
    <w:p>
      <w:pPr>
        <w:pStyle w:val="ListBullet"/>
      </w:pPr>
      <w:r>
        <w:t>Informationen über den Anbieter (Vendor) und bestehende AVV;</w:t>
      </w:r>
    </w:p>
    <w:p>
      <w:pPr>
        <w:pStyle w:val="ListBullet"/>
      </w:pPr>
      <w:r>
        <w:t>Ergebnis etwaiger Bias-Tests.</w:t>
      </w:r>
    </w:p>
    <w:p>
      <w:pPr>
        <w:jc w:val="left"/>
      </w:pPr>
      <w:r>
        <w:rPr>
          <w:b/>
        </w:rPr>
        <w:t>§ 2 Abs. 3:</w:t>
      </w:r>
      <w:r>
        <w:t xml:space="preserve"> Der Betriebsrat kann auf Kosten des Arbeitgebers bis zu zwei externe Sachverständige für KI-Systeme nach § 80 Abs. 3 BetrVG hinzuziehen. [</w:t>
      </w:r>
      <w:r>
        <w:rPr>
          <w:i/>
        </w:rPr>
        <w:t>Streitpunkt: Arbeitgeber prüft Kostengrenze noch.</w:t>
      </w:r>
      <w:r>
        <w:t>]</w:t>
      </w:r>
    </w:p>
    <w:p/>
    <w:p>
      <w:pPr>
        <w:pStyle w:val="Heading2"/>
      </w:pPr>
      <w:r>
        <w:rPr>
          <w:rFonts w:ascii="Times New Roman" w:hAnsi="Times New Roman"/>
        </w:rPr>
        <w:t>§ 3 Zustimmungsvorbehalt</w:t>
      </w:r>
    </w:p>
    <w:p>
      <w:pPr>
        <w:jc w:val="left"/>
      </w:pPr>
      <w:r>
        <w:rPr>
          <w:b/>
        </w:rPr>
        <w:t>§ 3 Abs. 1:</w:t>
      </w:r>
      <w:r>
        <w:t xml:space="preserve"> Die Inbetriebnahme von KI-Systemen nach § 1 bedarf der Zustimmung des Betriebsrats.</w:t>
      </w:r>
    </w:p>
    <w:p>
      <w:pPr>
        <w:jc w:val="left"/>
      </w:pPr>
      <w:r>
        <w:rPr>
          <w:b/>
        </w:rPr>
        <w:t>§ 3 Abs. 2:</w:t>
      </w:r>
      <w:r>
        <w:t xml:space="preserve"> Der Betriebsrat kann die Zustimmung verweigern, wenn:</w:t>
      </w:r>
    </w:p>
    <w:p>
      <w:pPr>
        <w:pStyle w:val="ListBullet"/>
      </w:pPr>
      <w:r>
        <w:t>die nach § 2 erforderlichen Informationen nicht vollständig vorliegen;</w:t>
      </w:r>
    </w:p>
    <w:p>
      <w:pPr>
        <w:pStyle w:val="ListBullet"/>
      </w:pPr>
      <w:r>
        <w:t>Bias-Tests mit nicht tolerierbaren Diskriminierungsrisiken abgeschlossen wurden;</w:t>
      </w:r>
    </w:p>
    <w:p>
      <w:pPr>
        <w:pStyle w:val="ListBullet"/>
      </w:pPr>
      <w:r>
        <w:t>eine erforderliche DPIA nicht vorliegt oder wesentliche Risiken nicht gemindert wurden;</w:t>
      </w:r>
    </w:p>
    <w:p>
      <w:pPr>
        <w:pStyle w:val="ListBullet"/>
      </w:pPr>
      <w:r>
        <w:t>die Anforderungen dieser Betriebsvereinbarung nicht erfüllt sind.</w:t>
      </w:r>
    </w:p>
    <w:p>
      <w:pPr>
        <w:jc w:val="left"/>
      </w:pPr>
      <w:r>
        <w:rPr>
          <w:b/>
        </w:rPr>
        <w:t>§ 3 Abs. 3:</w:t>
      </w:r>
      <w:r>
        <w:t xml:space="preserve"> Verweigert der Betriebsrat die Zustimmung, teilt er dies mit Begründung innerhalb von zwei Wochen nach Unterrichtung mit. Arbeitgeber und Betriebsrat suchen dann gemeinsam eine Lösung. Scheitert die Einigung, ist die Einigungsstelle nach § 76 BetrVG anzurufen.</w:t>
      </w:r>
    </w:p>
    <w:p/>
    <w:p>
      <w:pPr>
        <w:pStyle w:val="Heading2"/>
      </w:pPr>
      <w:r>
        <w:rPr>
          <w:rFonts w:ascii="Times New Roman" w:hAnsi="Times New Roman"/>
        </w:rPr>
        <w:t>§ 4 Transparenz und Erklärungsrecht</w:t>
      </w:r>
    </w:p>
    <w:p>
      <w:pPr>
        <w:jc w:val="left"/>
      </w:pPr>
      <w:r>
        <w:rPr>
          <w:b/>
        </w:rPr>
        <w:t>§ 4 Abs. 1:</w:t>
      </w:r>
      <w:r>
        <w:t xml:space="preserve"> Beschäftigte, über die ein KI-System Empfehlungen oder Entscheidungen trifft, werden vorab in verständlicher Sprache über den Einsatz des Systems informiert.</w:t>
      </w:r>
    </w:p>
    <w:p>
      <w:pPr>
        <w:jc w:val="left"/>
      </w:pPr>
      <w:r>
        <w:rPr>
          <w:b/>
        </w:rPr>
        <w:t>§ 4 Abs. 2:</w:t>
      </w:r>
      <w:r>
        <w:t xml:space="preserve"> Beschäftigte haben das Recht, auf Antrag eine Erklärung der Entscheidungsgrundlage zu erhalten (Art. 22 DSGVO; https://dejure.org/gesetze/DSGVO/22.html). Diese Erklärung muss in einfacher Sprache die wesentlichen Parameter des Scorings beschreiben.</w:t>
      </w:r>
    </w:p>
    <w:p>
      <w:pPr>
        <w:jc w:val="left"/>
      </w:pPr>
      <w:r>
        <w:rPr>
          <w:b/>
        </w:rPr>
        <w:t>§ 4 Abs. 3:</w:t>
      </w:r>
      <w:r>
        <w:t xml:space="preserve"> Automatische Entscheidungen ohne menschliche Überprüfung (voll automatisierte Ablehnungen) sind verboten.</w:t>
      </w:r>
    </w:p>
    <w:p/>
    <w:p>
      <w:pPr>
        <w:pStyle w:val="Heading2"/>
      </w:pPr>
      <w:r>
        <w:rPr>
          <w:rFonts w:ascii="Times New Roman" w:hAnsi="Times New Roman"/>
        </w:rPr>
        <w:t>§ 5 Menschliche Aufsicht</w:t>
      </w:r>
    </w:p>
    <w:p>
      <w:pPr>
        <w:jc w:val="left"/>
      </w:pPr>
      <w:r>
        <w:rPr>
          <w:b/>
        </w:rPr>
        <w:t>§ 5 Abs. 1:</w:t>
      </w:r>
      <w:r>
        <w:t xml:space="preserve"> Bei allen KI-Systemen nach § 1 entscheidet grundsätzlich ein Mensch. Das KI-System ist Entscheidungsunterstützungswerkzeug, kein Entscheidungsträger.</w:t>
      </w:r>
    </w:p>
    <w:p>
      <w:pPr>
        <w:jc w:val="left"/>
      </w:pPr>
      <w:r>
        <w:rPr>
          <w:b/>
        </w:rPr>
        <w:t>§ 5 Abs. 2:</w:t>
      </w:r>
      <w:r>
        <w:t xml:space="preserve"> Für RecruitAI gilt: Die abschließende Einstellungs- oder Ablehnungsentscheidung liegt beim zuständigen HR-Business-Partner. Abweichungen vom KI-Ranking sind zu dokumentieren.</w:t>
      </w:r>
    </w:p>
    <w:p/>
    <w:p>
      <w:pPr>
        <w:pStyle w:val="Heading2"/>
      </w:pPr>
      <w:r>
        <w:rPr>
          <w:rFonts w:ascii="Times New Roman" w:hAnsi="Times New Roman"/>
        </w:rPr>
        <w:t>§ 6 Bias-Monitoring und regelmäßige Überprüfung</w:t>
      </w:r>
    </w:p>
    <w:p>
      <w:pPr>
        <w:jc w:val="left"/>
      </w:pPr>
      <w:r>
        <w:rPr>
          <w:b/>
        </w:rPr>
        <w:t>§ 6 Abs. 1:</w:t>
      </w:r>
      <w:r>
        <w:t xml:space="preserve"> Der Arbeitgeber führt jährlich Bias-Tests für alle KI-Systeme nach § 1 durch und legt die Ergebnisse dem Betriebsrat vor.</w:t>
      </w:r>
    </w:p>
    <w:p>
      <w:pPr>
        <w:jc w:val="left"/>
      </w:pPr>
      <w:r>
        <w:rPr>
          <w:b/>
        </w:rPr>
        <w:t>§ 6 Abs. 2:</w:t>
      </w:r>
      <w:r>
        <w:t xml:space="preserve"> Werden Bias-Probleme festgestellt, ist das System sofort anzupassen oder vorübergehend außer Betrieb zu nehmen.</w:t>
      </w:r>
    </w:p>
    <w:p>
      <w:pPr>
        <w:jc w:val="left"/>
      </w:pPr>
      <w:r>
        <w:rPr>
          <w:b/>
        </w:rPr>
        <w:t>§ 6 Abs. 3:</w:t>
      </w:r>
      <w:r>
        <w:t xml:space="preserve"> Der Betriebsrat erhält Zugang zu aggregierten Statistiken (Einstellungsquoten, Score-Verteilungen nach Geschlecht, Alter, Nationalität) — keine Einzelpersonendaten.</w:t>
      </w:r>
    </w:p>
    <w:p/>
    <w:p>
      <w:pPr>
        <w:pStyle w:val="Heading2"/>
      </w:pPr>
      <w:r>
        <w:rPr>
          <w:rFonts w:ascii="Times New Roman" w:hAnsi="Times New Roman"/>
        </w:rPr>
        <w:t>§ 7 Schulung</w:t>
      </w:r>
    </w:p>
    <w:p>
      <w:pPr>
        <w:jc w:val="left"/>
      </w:pPr>
      <w:r>
        <w:rPr>
          <w:b/>
        </w:rPr>
        <w:t>§ 7 Abs. 1:</w:t>
      </w:r>
      <w:r>
        <w:t xml:space="preserve"> Beschäftigte, die KI-Systeme nutzen oder deren Ausgaben berücksichtigen, sind vor Einsatz entsprechend zu schulen (Art. 4 KI-VO, AI Literacy). Die Schulungsnachweise sind dem Betriebsrat auf Anfrage vorzulegen.</w:t>
      </w:r>
    </w:p>
    <w:p>
      <w:pPr>
        <w:jc w:val="left"/>
      </w:pPr>
      <w:r>
        <w:rPr>
          <w:b/>
        </w:rPr>
        <w:t>§ 7 Abs. 2:</w:t>
      </w:r>
      <w:r>
        <w:t xml:space="preserve"> Der Betriebsrat und seine Mitglieder erhalten eine eigene Schulung zum Thema KI-Mitbestimmung (Modul G laut AI-Literacy-Curriculum, Aktenstück 05) auf Kosten des Arbeitgebers.</w:t>
      </w:r>
    </w:p>
    <w:p/>
    <w:p>
      <w:pPr>
        <w:pStyle w:val="Heading2"/>
      </w:pPr>
      <w:r>
        <w:rPr>
          <w:rFonts w:ascii="Times New Roman" w:hAnsi="Times New Roman"/>
        </w:rPr>
        <w:t>§ 8 Laufzeit und Kündigung</w:t>
      </w:r>
    </w:p>
    <w:p>
      <w:pPr>
        <w:jc w:val="left"/>
      </w:pPr>
      <w:r>
        <w:t>Diese Betriebsvereinbarung gilt auf unbestimmte Zeit. Sie kann von jeder Seite mit einer Frist von sechs Monaten schriftlich gekündigt werden. Bei Kündigung gilt eine Nachwirkung bis zum Abschluss einer neuen Vereinbarung.</w:t>
      </w:r>
    </w:p>
    <w:p/>
    <w:p>
      <w:pPr>
        <w:pStyle w:val="Heading2"/>
      </w:pPr>
      <w:r>
        <w:rPr>
          <w:rFonts w:ascii="Times New Roman" w:hAnsi="Times New Roman"/>
        </w:rPr>
        <w:t>Offene Verhandlungspunkte (Stand 08. April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Arbeitgeber-Position</w:t>
            </w:r>
          </w:p>
        </w:tc>
        <w:tc>
          <w:tcPr>
            <w:tcW w:type="dxa" w:w="2268"/>
          </w:tcPr>
          <w:p>
            <w:r>
              <w:rPr>
                <w:rFonts w:ascii="Times New Roman" w:hAnsi="Times New Roman"/>
                <w:b/>
                <w:sz w:val="20"/>
              </w:rPr>
              <w:t>BR-Position</w:t>
            </w:r>
          </w:p>
        </w:tc>
        <w:tc>
          <w:tcPr>
            <w:tcW w:type="dxa" w:w="2268"/>
          </w:tcPr>
          <w:p>
            <w:r>
              <w:rPr>
                <w:rFonts w:ascii="Times New Roman" w:hAnsi="Times New Roman"/>
                <w:b/>
                <w:sz w:val="20"/>
              </w:rPr>
              <w:t>Status</w:t>
            </w:r>
          </w:p>
        </w:tc>
      </w:tr>
      <w:tr>
        <w:tc>
          <w:tcPr>
            <w:tcW w:type="dxa" w:w="2268"/>
          </w:tcPr>
          <w:p>
            <w:r>
              <w:rPr>
                <w:rFonts w:ascii="Times New Roman" w:hAnsi="Times New Roman"/>
                <w:sz w:val="20"/>
              </w:rPr>
              <w:t>Externe Sachverständige (§ 2 Abs. 3)</w:t>
            </w:r>
          </w:p>
        </w:tc>
        <w:tc>
          <w:tcPr>
            <w:tcW w:type="dxa" w:w="2268"/>
          </w:tcPr>
          <w:p>
            <w:r>
              <w:rPr>
                <w:rFonts w:ascii="Times New Roman" w:hAnsi="Times New Roman"/>
                <w:sz w:val="20"/>
              </w:rPr>
              <w:t>Kostenobergrenze 10.000 EUR</w:t>
            </w:r>
          </w:p>
        </w:tc>
        <w:tc>
          <w:tcPr>
            <w:tcW w:type="dxa" w:w="2268"/>
          </w:tcPr>
          <w:p>
            <w:r>
              <w:rPr>
                <w:rFonts w:ascii="Times New Roman" w:hAnsi="Times New Roman"/>
                <w:sz w:val="20"/>
              </w:rPr>
              <w:t>Keine Kostenbeschränkung</w:t>
            </w:r>
          </w:p>
        </w:tc>
        <w:tc>
          <w:tcPr>
            <w:tcW w:type="dxa" w:w="2268"/>
          </w:tcPr>
          <w:p>
            <w:r>
              <w:rPr>
                <w:rFonts w:ascii="Times New Roman" w:hAnsi="Times New Roman"/>
                <w:b/>
                <w:sz w:val="20"/>
              </w:rPr>
              <w:t>Offen</w:t>
            </w:r>
          </w:p>
        </w:tc>
      </w:tr>
      <w:tr>
        <w:tc>
          <w:tcPr>
            <w:tcW w:type="dxa" w:w="2268"/>
          </w:tcPr>
          <w:p>
            <w:r>
              <w:rPr>
                <w:rFonts w:ascii="Times New Roman" w:hAnsi="Times New Roman"/>
                <w:sz w:val="20"/>
              </w:rPr>
              <w:t>Reichweite Zustimmungsvorbehalt</w:t>
            </w:r>
          </w:p>
        </w:tc>
        <w:tc>
          <w:tcPr>
            <w:tcW w:type="dxa" w:w="2268"/>
          </w:tcPr>
          <w:p>
            <w:r>
              <w:rPr>
                <w:rFonts w:ascii="Times New Roman" w:hAnsi="Times New Roman"/>
                <w:sz w:val="20"/>
              </w:rPr>
              <w:t>Nur Hochrisiko-Systeme</w:t>
            </w:r>
          </w:p>
        </w:tc>
        <w:tc>
          <w:tcPr>
            <w:tcW w:type="dxa" w:w="2268"/>
          </w:tcPr>
          <w:p>
            <w:r>
              <w:rPr>
                <w:rFonts w:ascii="Times New Roman" w:hAnsi="Times New Roman"/>
                <w:sz w:val="20"/>
              </w:rPr>
              <w:t>Alle KI nach § 1</w:t>
            </w:r>
          </w:p>
        </w:tc>
        <w:tc>
          <w:tcPr>
            <w:tcW w:type="dxa" w:w="2268"/>
          </w:tcPr>
          <w:p>
            <w:r>
              <w:rPr>
                <w:rFonts w:ascii="Times New Roman" w:hAnsi="Times New Roman"/>
                <w:b/>
                <w:sz w:val="20"/>
              </w:rPr>
              <w:t>Teileinigung</w:t>
            </w:r>
          </w:p>
        </w:tc>
      </w:tr>
      <w:tr>
        <w:tc>
          <w:tcPr>
            <w:tcW w:type="dxa" w:w="2268"/>
          </w:tcPr>
          <w:p>
            <w:r>
              <w:rPr>
                <w:rFonts w:ascii="Times New Roman" w:hAnsi="Times New Roman"/>
                <w:sz w:val="20"/>
              </w:rPr>
              <w:t>Bias-Test-Frequenz</w:t>
            </w:r>
          </w:p>
        </w:tc>
        <w:tc>
          <w:tcPr>
            <w:tcW w:type="dxa" w:w="2268"/>
          </w:tcPr>
          <w:p>
            <w:r>
              <w:rPr>
                <w:rFonts w:ascii="Times New Roman" w:hAnsi="Times New Roman"/>
                <w:sz w:val="20"/>
              </w:rPr>
              <w:t>Jährlich</w:t>
            </w:r>
          </w:p>
        </w:tc>
        <w:tc>
          <w:tcPr>
            <w:tcW w:type="dxa" w:w="2268"/>
          </w:tcPr>
          <w:p>
            <w:r>
              <w:rPr>
                <w:rFonts w:ascii="Times New Roman" w:hAnsi="Times New Roman"/>
                <w:sz w:val="20"/>
              </w:rPr>
              <w:t>Halbjährlich</w:t>
            </w:r>
          </w:p>
        </w:tc>
        <w:tc>
          <w:tcPr>
            <w:tcW w:type="dxa" w:w="2268"/>
          </w:tcPr>
          <w:p>
            <w:r>
              <w:rPr>
                <w:rFonts w:ascii="Times New Roman" w:hAnsi="Times New Roman"/>
                <w:b/>
                <w:sz w:val="20"/>
              </w:rPr>
              <w:t>Offen</w:t>
            </w:r>
          </w:p>
        </w:tc>
      </w:tr>
      <w:tr>
        <w:tc>
          <w:tcPr>
            <w:tcW w:type="dxa" w:w="2268"/>
          </w:tcPr>
          <w:p>
            <w:r>
              <w:rPr>
                <w:rFonts w:ascii="Times New Roman" w:hAnsi="Times New Roman"/>
                <w:sz w:val="20"/>
              </w:rPr>
              <w:t>Score-Einsichtnahme Beschäftigte</w:t>
            </w:r>
          </w:p>
        </w:tc>
        <w:tc>
          <w:tcPr>
            <w:tcW w:type="dxa" w:w="2268"/>
          </w:tcPr>
          <w:p>
            <w:r>
              <w:rPr>
                <w:rFonts w:ascii="Times New Roman" w:hAnsi="Times New Roman"/>
                <w:sz w:val="20"/>
              </w:rPr>
              <w:t>Auf Anfrage, schriftlich</w:t>
            </w:r>
          </w:p>
        </w:tc>
        <w:tc>
          <w:tcPr>
            <w:tcW w:type="dxa" w:w="2268"/>
          </w:tcPr>
          <w:p>
            <w:r>
              <w:rPr>
                <w:rFonts w:ascii="Times New Roman" w:hAnsi="Times New Roman"/>
                <w:sz w:val="20"/>
              </w:rPr>
              <w:t>Proaktiv vor Entscheidung</w:t>
            </w:r>
          </w:p>
        </w:tc>
        <w:tc>
          <w:tcPr>
            <w:tcW w:type="dxa" w:w="2268"/>
          </w:tcPr>
          <w:p>
            <w:r>
              <w:rPr>
                <w:rFonts w:ascii="Times New Roman" w:hAnsi="Times New Roman"/>
                <w:b/>
                <w:sz w:val="20"/>
              </w:rPr>
              <w:t>Offen</w:t>
            </w:r>
          </w:p>
        </w:tc>
      </w:tr>
      <w:tr>
        <w:tc>
          <w:tcPr>
            <w:tcW w:type="dxa" w:w="2268"/>
          </w:tcPr>
          <w:p>
            <w:r>
              <w:rPr>
                <w:rFonts w:ascii="Times New Roman" w:hAnsi="Times New Roman"/>
                <w:sz w:val="20"/>
              </w:rPr>
              <w:t>Vergütungsregelung BR-Sachverständige</w:t>
            </w:r>
          </w:p>
        </w:tc>
        <w:tc>
          <w:tcPr>
            <w:tcW w:type="dxa" w:w="2268"/>
          </w:tcPr>
          <w:p>
            <w:r>
              <w:rPr>
                <w:rFonts w:ascii="Times New Roman" w:hAnsi="Times New Roman"/>
                <w:sz w:val="20"/>
              </w:rPr>
              <w:t>Intern koordinieren</w:t>
            </w:r>
          </w:p>
        </w:tc>
        <w:tc>
          <w:tcPr>
            <w:tcW w:type="dxa" w:w="2268"/>
          </w:tcPr>
          <w:p>
            <w:r>
              <w:rPr>
                <w:rFonts w:ascii="Times New Roman" w:hAnsi="Times New Roman"/>
                <w:sz w:val="20"/>
              </w:rPr>
              <w:t>Unabhängige externe</w:t>
            </w:r>
          </w:p>
        </w:tc>
        <w:tc>
          <w:tcPr>
            <w:tcW w:type="dxa" w:w="2268"/>
          </w:tcPr>
          <w:p>
            <w:r>
              <w:rPr>
                <w:rFonts w:ascii="Times New Roman" w:hAnsi="Times New Roman"/>
                <w:b/>
                <w:sz w:val="20"/>
              </w:rPr>
              <w:t>Offen</w:t>
            </w:r>
          </w:p>
        </w:tc>
      </w:tr>
    </w:tbl>
    <w:p/>
    <w:p>
      <w:pPr>
        <w:jc w:val="left"/>
      </w:pPr>
      <w:r>
        <w:rPr>
          <w:i/>
        </w:rPr>
        <w:t>Entwurf v0.5, Verhandlungsstand 08.04.2026. Nicht unterzeichnet. Aktenzeichen: TI-KI-2026-009.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