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Konformitätsprüfung CreditVision Score — Vorbereitende Analyse</w:t>
      </w:r>
    </w:p>
    <w:p>
      <w:pPr>
        <w:jc w:val="left"/>
      </w:pPr>
      <w:r>
        <w:rPr>
          <w:b/>
        </w:rPr>
        <w:t>Aktenzeichen:</w:t>
      </w:r>
      <w:r>
        <w:t xml:space="preserve"> TI-KI-2026-015</w:t>
      </w:r>
    </w:p>
    <w:p>
      <w:pPr>
        <w:jc w:val="left"/>
      </w:pPr>
      <w:r>
        <w:rPr>
          <w:b/>
        </w:rPr>
        <w:t>Dokumentversion:</w:t>
      </w:r>
      <w:r>
        <w:t xml:space="preserve"> 0.9 (Vorab-Analyse, Audit geplant Mai 2026)</w:t>
      </w:r>
    </w:p>
    <w:p>
      <w:pPr>
        <w:jc w:val="left"/>
      </w:pPr>
      <w:r>
        <w:rPr>
          <w:b/>
        </w:rPr>
        <w:t>Erstellungsdatum:</w:t>
      </w:r>
      <w:r>
        <w:t xml:space="preserve"> 25. März 2026</w:t>
      </w:r>
    </w:p>
    <w:p>
      <w:pPr>
        <w:jc w:val="left"/>
      </w:pPr>
      <w:r>
        <w:rPr>
          <w:b/>
        </w:rPr>
        <w:t>Verfasser:</w:t>
      </w:r>
      <w:r>
        <w:t xml:space="preserve"> Annegret Kühnhausen (CCO); Rolf Haselmann (Leiter Kundenfinanzierung)</w:t>
      </w:r>
    </w:p>
    <w:p>
      <w:pPr>
        <w:jc w:val="left"/>
      </w:pPr>
      <w:r>
        <w:rPr>
          <w:b/>
        </w:rPr>
        <w:t>Externe Begleitung:</w:t>
      </w:r>
      <w:r>
        <w:t xml:space="preserve"> Kanzlei Borchmann Compliance</w:t>
      </w:r>
    </w:p>
    <w:p/>
    <w:p>
      <w:pPr>
        <w:pStyle w:val="Heading2"/>
      </w:pPr>
      <w:r>
        <w:rPr>
          <w:rFonts w:ascii="Times New Roman" w:hAnsi="Times New Roman"/>
        </w:rPr>
        <w:t>1. Gegenstand und Ausgangslage</w:t>
      </w:r>
    </w:p>
    <w:p>
      <w:pPr>
        <w:jc w:val="left"/>
      </w:pPr>
      <w:r>
        <w:t xml:space="preserve">Das Kreditscoring-Modul </w:t>
      </w:r>
      <w:r>
        <w:rPr>
          <w:b/>
        </w:rPr>
        <w:t>CreditVision Score</w:t>
      </w:r>
      <w:r>
        <w:t xml:space="preserve"> (Vendor: CreditVision AG, Frankfurt am Main) ist als Hochrisiko-KI-System nach Art. 6 Abs. 2 i.V.m. Anhang III Nr. 5 lit. b KI-VO (https://dejure.org/gesetze/KIVO/6.html) klassifiziert. Es berechnet Bonitätsscores für Privat- und Gewerbekunden der Thalheim-Kundenfinanzierungseinheit und fließt in Kreditentscheidungen bei Investitionsgütern und Energieanlagen-Finanzierungen ein.</w:t>
      </w:r>
    </w:p>
    <w:p>
      <w:pPr>
        <w:jc w:val="left"/>
      </w:pPr>
      <w:r>
        <w:t>Die offene BaFin-Anfrage (GZ BJ 24-K 7102-2026/0012, eingegangen 10.03.2026, Antwortfrist 15.05.2026) hat die Konformitätsprüfung zu einem vorrangigen Compliance-Thema gemacht. Die vollständige interne Konformitätsbewertung durch Hagedorn &amp; Partner ist für Mai/Juni 2026 geplant. Das vorliegende Dokument bereitet die Prüfung vor.</w:t>
      </w:r>
    </w:p>
    <w:p/>
    <w:p>
      <w:pPr>
        <w:pStyle w:val="Heading2"/>
      </w:pPr>
      <w:r>
        <w:rPr>
          <w:rFonts w:ascii="Times New Roman" w:hAnsi="Times New Roman"/>
        </w:rPr>
        <w:t>2. System-Steckbrief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System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CreditVision Score v4.2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Vendor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CreditVision AG, Mainzer Landstraße 220, 60326 Frankfurt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CV-ENT-2023-TI-0441 (seit 01.04.2023)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Einsatzbereich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Kundenfinanzierung Thalheim Industries SE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Entscheidungsgewicht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Score fließt zu 60 % in Kreditentscheidung ein; 40 % Sachbearbeiter-Urteil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Kreditvolumen p.a.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340 Mio. EUR (Neuabschlüsse)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Betroffene Personen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1.200 Neukunden p.a. (natürliche Personen und Unternehmer)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Datenbasis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Eigenangaben Kunden, Schufa-Score, Kontoauszüge (optionaler PSD2-Zugang), Branchendaten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Prüfung Art. 22 DSGVO</w:t>
      </w:r>
    </w:p>
    <w:p>
      <w:pPr>
        <w:jc w:val="left"/>
      </w:pPr>
      <w:r>
        <w:rPr>
          <w:b/>
        </w:rPr>
        <w:t>Sachverhalt:</w:t>
      </w:r>
      <w:r>
        <w:t xml:space="preserve"> CreditVision Score unterstützt Kreditentscheidungen, die erhebliche Rechtsfolgen für Kunden haben (Kreditbewilligung oder -ablehnung). Dies fällt unter Art. 22 Abs. 1 DSGVO (https://dejure.org/gesetze/DSGVO/22.html), wenn die Entscheidung ausschließlich oder überwiegend auf automatisierter Verarbeitung beruht.</w:t>
      </w:r>
    </w:p>
    <w:p>
      <w:pPr>
        <w:jc w:val="left"/>
      </w:pPr>
      <w:r>
        <w:rPr>
          <w:b/>
        </w:rPr>
        <w:t>Analyse:</w:t>
      </w:r>
    </w:p>
    <w:p>
      <w:pPr>
        <w:pStyle w:val="ListBullet"/>
      </w:pPr>
      <w:r>
        <w:t>Bei einem Score-Gewicht von 60 % liegt noch keine „ausschließlich automatisierte" Entscheidung vor, wenn der Sachbearbeiter aktiv entscheidet.</w:t>
      </w:r>
    </w:p>
    <w:p>
      <w:pPr>
        <w:pStyle w:val="ListBullet"/>
      </w:pPr>
      <w:r>
        <w:t>Kritisch: In der Praxis folgen Sachbearbeiter dem Score in 94 % der Fälle, was de facto einer automatisierten Entscheidung nahekommt (vgl. EuGH, Urteil vom 07.12.2023, Rs. C-634/21, „SCHUFA Holding AG" — obiter dicta zur funktionalen Automationsqualität).</w:t>
      </w:r>
    </w:p>
    <w:p>
      <w:pPr>
        <w:pStyle w:val="ListBullet"/>
      </w:pPr>
      <w:r>
        <w:t>Empfehlung: Sachbearbeiterprozess stärken; aktives Dokumentationserfordernis bei Abweichungen nach oben und unten.</w:t>
      </w:r>
    </w:p>
    <w:p>
      <w:pPr>
        <w:jc w:val="left"/>
      </w:pPr>
      <w:r>
        <w:rPr>
          <w:b/>
        </w:rPr>
        <w:t>Maßnahmen Art. 22 DSGVO:</w:t>
      </w:r>
    </w:p>
    <w:p>
      <w:pPr>
        <w:pStyle w:val="ListBullet"/>
      </w:pPr>
      <w:r>
        <w:t>Datenschutzhinweis überarbeiten: Kunden über Kreditscoring informieren (Art. 13 DSGVO).</w:t>
      </w:r>
    </w:p>
    <w:p>
      <w:pPr>
        <w:pStyle w:val="ListBullet"/>
      </w:pPr>
      <w:r>
        <w:t>Erklärungsrecht dokumentieren: Kunden haben Recht auf Erläuterung der Score-Faktoren.</w:t>
      </w:r>
    </w:p>
    <w:p>
      <w:pPr>
        <w:pStyle w:val="ListBullet"/>
      </w:pPr>
      <w:r>
        <w:t>Widerspruchsrecht verankern: Kunden können menschliche Überprüfung verlangen.</w:t>
      </w:r>
    </w:p>
    <w:p/>
    <w:p>
      <w:pPr>
        <w:pStyle w:val="Heading2"/>
      </w:pPr>
      <w:r>
        <w:rPr>
          <w:rFonts w:ascii="Times New Roman" w:hAnsi="Times New Roman"/>
        </w:rPr>
        <w:t>4. Vorprüfung der Hochrisiko-Pflichten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Vorabeinschätzung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Handlungsbedarf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Risikomanagementsystem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9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 (CreditVision-intern)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Thalheim-spezifische Ergänzung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Bias-Tests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9 Abs. 7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Unklar — CreditVision keine Aussage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Nachforderung dringend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Daten-Governance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10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dokumentiert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Herkunft Schufa-Daten klären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Technische Dokumentation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11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geliefert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Nachforderung läuft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Protokollierung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12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Log-Daten vorhanden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Aufbewahrungsfrist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Gebrauchsanweisung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13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 (DE, 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Ausreichend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Menschliche Aufsicht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14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Prozessual verankert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Dokumentationspraxis verbessern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Genauigkeit / Robustheit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15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unabhängige 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Unabhängiges Testing planen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Cybersicherheit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15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ISO 27001 CreditVision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Zertifikat anfordern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Inhalt der BaFin-Stellungnahme (Entwurf)</w:t>
      </w:r>
    </w:p>
    <w:p>
      <w:pPr>
        <w:jc w:val="left"/>
      </w:pPr>
      <w:r>
        <w:rPr>
          <w:i/>
        </w:rPr>
        <w:t>Für BaFin GZ BJ 24-K 7102-2026/0012, Antwortfrist 15.05.2026:</w:t>
      </w:r>
    </w:p>
    <w:p>
      <w:pPr>
        <w:jc w:val="left"/>
      </w:pPr>
      <w:r>
        <w:rPr>
          <w:b/>
        </w:rPr>
        <w:t>Zu Frage 1 — Art. 22 DSGVO:</w:t>
      </w:r>
      <w:r>
        <w:t xml:space="preserve"> Thalheim erklärt, dass CreditVision Score Entscheidungsunterstützungs-, kein Entscheidungssystem ist. Die abschließende Kreditentscheidung trifft ein qualifizierter Sachbearbeiter. Die Informationspflichten nach Art. 13 DSGVO werden seit [Datum] durch den aktualisierten Datenschutzhinweis erfüllt. Das Widerspruchsrecht nach Art. 22 Abs. 3 DSGVO ist im Kundenprozess verankert.</w:t>
      </w:r>
    </w:p>
    <w:p>
      <w:pPr>
        <w:jc w:val="left"/>
      </w:pPr>
      <w:r>
        <w:rPr>
          <w:b/>
        </w:rPr>
        <w:t>Zu Frage 2 — Art. 43 Abs. 2 KI-VO:</w:t>
      </w:r>
      <w:r>
        <w:t xml:space="preserve"> Die vollständige interne Konformitätsbewertung für CreditVision Score ist für Mai/Juni 2026 geplant und wird von WPG Hagedorn &amp; Partner begleitet. Der Abschlussbericht wird der BaFin nach Fertigstellung (geplant 31.07.2026) übermittelt. Thalheim verpflichtet sich, bis dahin den Status monatlich zu berichten.</w:t>
      </w:r>
    </w:p>
    <w:p/>
    <w:p>
      <w:pPr>
        <w:pStyle w:val="Heading2"/>
      </w:pPr>
      <w:r>
        <w:rPr>
          <w:rFonts w:ascii="Times New Roman" w:hAnsi="Times New Roman"/>
        </w:rPr>
        <w:t>6. Risikobewertung Gesamtsystem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Diskriminierung in Kreditentscheidungen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Bias-Tests CreditVision beauftragen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22 DSGVO-Verstoß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Dokumentationsprozess stärken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Unvollständige Vendor-Dokumentation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Nachforderung, Vertragsstrafe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BaFin-Sanktion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 (mit Stellungnahme)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Fristgerechte, vollständige Antwort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Reputationsrisiko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 bis 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Proaktive Kommunikation an BaFin</w:t>
            </w:r>
          </w:p>
        </w:tc>
      </w:tr>
    </w:tbl>
    <w:p/>
    <w:p>
      <w:pPr>
        <w:jc w:val="left"/>
      </w:pPr>
      <w:r>
        <w:rPr>
          <w:i/>
        </w:rPr>
        <w:t>Aktenzeichen: TI-KI-2026-015. Verfasser: A. Kühnhausen, R. Haselmann. Stand: März 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