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Eskalationsvorlage an den Vorstandsvorsitzenden</w:t>
      </w:r>
    </w:p>
    <w:p>
      <w:pPr>
        <w:jc w:val="left"/>
      </w:pPr>
      <w:r>
        <w:rPr>
          <w:b/>
        </w:rPr>
        <w:t>Aktenzeichen:</w:t>
      </w:r>
      <w:r>
        <w:t xml:space="preserve"> TI-KI-2026-007</w:t>
      </w:r>
    </w:p>
    <w:p>
      <w:pPr>
        <w:jc w:val="left"/>
      </w:pPr>
      <w:r>
        <w:rPr>
          <w:b/>
        </w:rPr>
        <w:t>Datum:</w:t>
      </w:r>
      <w:r>
        <w:t xml:space="preserve"> 15. April 2026</w:t>
      </w:r>
    </w:p>
    <w:p>
      <w:pPr>
        <w:jc w:val="left"/>
      </w:pPr>
      <w:r>
        <w:rPr>
          <w:b/>
        </w:rPr>
        <w:t>An:</w:t>
      </w:r>
      <w:r>
        <w:t xml:space="preserve"> Dr. Reinhard Thalheim-Lattermann, CEO</w:t>
      </w:r>
    </w:p>
    <w:p>
      <w:pPr>
        <w:jc w:val="left"/>
      </w:pPr>
      <w:r>
        <w:rPr>
          <w:b/>
        </w:rPr>
        <w:t>Von:</w:t>
      </w:r>
      <w:r>
        <w:t xml:space="preserve"> Annegret Kühnhausen, CCO; Dr. Falk Roosendaal, KI-Komitee-Vorsitz</w:t>
      </w:r>
    </w:p>
    <w:p>
      <w:pPr>
        <w:jc w:val="left"/>
      </w:pPr>
      <w:r>
        <w:rPr>
          <w:b/>
        </w:rPr>
        <w:t>Klassifizierung:</w:t>
      </w:r>
      <w:r>
        <w:t xml:space="preserve"> VERTRAULICH — NUR FÜR VORSTANDSMITGLIEDER</w:t>
      </w:r>
    </w:p>
    <w:p/>
    <w:p>
      <w:pPr>
        <w:pStyle w:val="Heading2"/>
      </w:pPr>
      <w:r>
        <w:rPr>
          <w:rFonts w:ascii="Times New Roman" w:hAnsi="Times New Roman"/>
        </w:rPr>
        <w:t>Betreff: Eskalation — Kumulative Risiken KI-Governance-Programm TI-KI-2026</w:t>
      </w:r>
    </w:p>
    <w:p>
      <w:pPr>
        <w:jc w:val="left"/>
      </w:pPr>
      <w:r>
        <w:t>Sehr geehrter Herr Dr. Thalheim-Lattermann,</w:t>
      </w:r>
    </w:p>
    <w:p>
      <w:pPr>
        <w:jc w:val="left"/>
      </w:pPr>
      <w:r>
        <w:t>wir berichten Ihnen über eine Verdichtung kritischer Risiken im KI-Governance-Programm TI-KI-2026, die eine Entscheidung auf Vorstandsebene erfordern. Drei Stränge entwickeln sich so, dass ohne Ihr persönliches Eingreifen die gesetzliche Frist 02.08.2026 für RecruitAI nicht zu halten ist und erhebliche behördliche und reputationsbezogene Konsequenzen drohen.</w:t>
      </w:r>
    </w:p>
    <w:p/>
    <w:p>
      <w:pPr>
        <w:pStyle w:val="Heading2"/>
      </w:pPr>
      <w:r>
        <w:rPr>
          <w:rFonts w:ascii="Times New Roman" w:hAnsi="Times New Roman"/>
        </w:rPr>
        <w:t>1. Situationsbeschreibung</w:t>
      </w:r>
    </w:p>
    <w:p>
      <w:pPr>
        <w:pStyle w:val="Heading3"/>
      </w:pPr>
      <w:r>
        <w:rPr>
          <w:rFonts w:ascii="Times New Roman" w:hAnsi="Times New Roman"/>
        </w:rPr>
        <w:t>Strang 1: RecruitAI — Doppeltes Risiko (Bias-Tests + automatische Ablehnungen)</w:t>
      </w:r>
    </w:p>
    <w:p>
      <w:pPr>
        <w:jc w:val="left"/>
      </w:pPr>
      <w:r>
        <w:t>Der Auditor Hagedorn &amp; Partner hat am 28.02.2026 festgestellt:</w:t>
      </w:r>
    </w:p>
    <w:p>
      <w:pPr>
        <w:pStyle w:val="ListBullet"/>
      </w:pPr>
      <w:r>
        <w:t xml:space="preserve">Synaptec Analytics GmbH hat </w:t>
      </w:r>
      <w:r>
        <w:rPr>
          <w:b/>
        </w:rPr>
        <w:t>keine dokumentierten Bias-Tests</w:t>
      </w:r>
      <w:r>
        <w:t xml:space="preserve"> geliefert. Nach 6 Wochen keine Reaktion auf unsere Mahnung vom 05.03.2026.</w:t>
      </w:r>
    </w:p>
    <w:p>
      <w:pPr>
        <w:pStyle w:val="ListBullet"/>
      </w:pPr>
      <w:r>
        <w:t xml:space="preserve">In </w:t>
      </w:r>
      <w:r>
        <w:rPr>
          <w:b/>
        </w:rPr>
        <w:t>143 Fällen</w:t>
      </w:r>
      <w:r>
        <w:t xml:space="preserve"> wurden Bewerber vollautomatisch abgelehnt — ohne HR-Bestätigung. Dies ist ein potenzieller Verstoß gegen Art. 22 DSGVO und Art. 14 KI-VO.</w:t>
      </w:r>
    </w:p>
    <w:p>
      <w:pPr>
        <w:jc w:val="left"/>
      </w:pPr>
      <w:r>
        <w:rPr>
          <w:b/>
        </w:rPr>
        <w:t>Was bereits getan wurde:</w:t>
      </w:r>
      <w:r>
        <w:t xml:space="preserve"> Technische Sperre der automatischen Ablehnung ab 30.04.2026; paralleles Bias-Testing beauftragt; LfDI BW informiert.</w:t>
      </w:r>
    </w:p>
    <w:p>
      <w:pPr>
        <w:jc w:val="left"/>
      </w:pPr>
      <w:r>
        <w:rPr>
          <w:b/>
        </w:rPr>
        <w:t>Was fehlt:</w:t>
      </w:r>
      <w:r>
        <w:t xml:space="preserve"> Synaptec liefert nicht. Wenn bis 30.05.2026 keine Bias-Test-Ergebnisse vorliegen, können wir die Konformitätsbewertung bis 31.07.2026 nicht abschließen. In diesem Fall müsste RecruitAI ab 02.08.2026 abgeschaltet werden.</w:t>
      </w:r>
    </w:p>
    <w:p>
      <w:pPr>
        <w:jc w:val="left"/>
      </w:pPr>
      <w:r>
        <w:rPr>
          <w:b/>
        </w:rPr>
        <w:t>Entscheidungsbedarf:</w:t>
      </w:r>
      <w:r>
        <w:t xml:space="preserve"> Sollen wir rechtliche Schritte gegen Synaptec wegen Vertragsverletzung einleiten? Und sollen wir parallel ein alternatives Recruiting-System evaluieren? Dies erfordert Ihr Mandat und Budgetfreigabe für externe Rechtsberatung (Schätzung: 50.000 EUR) und System-Evaluation (Schätzung: 120.000 EUR).</w:t>
      </w:r>
    </w:p>
    <w:p/>
    <w:p>
      <w:pPr>
        <w:pStyle w:val="Heading3"/>
      </w:pPr>
      <w:r>
        <w:rPr>
          <w:rFonts w:ascii="Times New Roman" w:hAnsi="Times New Roman"/>
        </w:rPr>
        <w:t>Strang 2: Betriebsrat — Keine Einigung in Sicht</w:t>
      </w:r>
    </w:p>
    <w:p>
      <w:pPr>
        <w:jc w:val="left"/>
      </w:pPr>
      <w:r>
        <w:t>Die Betriebsvereinbarungsverhandlungen laufen seit Januar 2026. Trotz drei Gesprächen besteht keine Einigung zu den Kernpunkten (Sachverständige, Bias-Test-Frequenz, Einsichtnahme). Betriebsratsvorsitzender Schäpers hat in der letzten Sitzung am 08.04.2026 signalisiert, er erwäge einen Antrag auf einstweilige Verfügung, wenn der Rollout ohne BV versucht wird.</w:t>
      </w:r>
    </w:p>
    <w:p>
      <w:pPr>
        <w:jc w:val="left"/>
      </w:pPr>
      <w:r>
        <w:rPr>
          <w:b/>
        </w:rPr>
        <w:t>Konsequenz:</w:t>
      </w:r>
      <w:r>
        <w:t xml:space="preserve"> Ohne abgeschlossene BV können RecruitAI und CreditVision Score nach § 87 BetrVG nicht regulär weiterbetrieben werden. Der Betriebsrat hat ein Klagerecht beim Arbeitsgericht.</w:t>
      </w:r>
    </w:p>
    <w:p>
      <w:pPr>
        <w:jc w:val="left"/>
      </w:pPr>
      <w:r>
        <w:rPr>
          <w:b/>
        </w:rPr>
        <w:t>Entscheidungsbedarf:</w:t>
      </w:r>
      <w:r>
        <w:t xml:space="preserve"> Ermächtigen Sie die CCO, die Einigungsstelle nach § 76 BetrVG (https://dejure.org/gesetze/BetrVG/76.html) anzurufen, wenn bis 15.05.2026 keine Einigung erzielt wird? Das Einigungsstellenverfahren kostet ca. 25.000–60.000 EUR und dauert 3–6 Monate, bietet aber einen geordneten Abschluss.</w:t>
      </w:r>
    </w:p>
    <w:p/>
    <w:p>
      <w:pPr>
        <w:pStyle w:val="Heading3"/>
      </w:pPr>
      <w:r>
        <w:rPr>
          <w:rFonts w:ascii="Times New Roman" w:hAnsi="Times New Roman"/>
        </w:rPr>
        <w:t>Strang 3: Schatten-KI Marketing — Mögliche DSGVO-Meldepflicht</w:t>
      </w:r>
    </w:p>
    <w:p>
      <w:pPr>
        <w:jc w:val="left"/>
      </w:pPr>
      <w:r>
        <w:t>Die Konzernrevision hat festgestellt, dass in 34 Fällen Kundendaten in Midjourney-Prompts eingegeben wurden, die an Server in den USA übermittelt wurden. Die Datenschutzbeauftragte Dr. Eichenmüller prüft, ob eine Meldung nach Art. 33 DSGVO an den LfDI BW erforderlich ist.</w:t>
      </w:r>
    </w:p>
    <w:p>
      <w:pPr>
        <w:jc w:val="left"/>
      </w:pPr>
      <w:r>
        <w:rPr>
          <w:b/>
        </w:rPr>
        <w:t>Konsequenz:</w:t>
      </w:r>
      <w:r>
        <w:t xml:space="preserve"> Wenn eine Meldepflicht besteht, muss diese innerhalb von 72 Stunden nach Kenntnis des Risikos erfolgen. Die Kenntnis des Datenschutzvorfalls entstand am 20.04.2026; Frist läuft.</w:t>
      </w:r>
    </w:p>
    <w:p>
      <w:pPr>
        <w:jc w:val="left"/>
      </w:pPr>
      <w:r>
        <w:rPr>
          <w:b/>
        </w:rPr>
        <w:t>Entscheidungsbedarf:</w:t>
      </w:r>
      <w:r>
        <w:t xml:space="preserve"> Autorisieren Sie Dr. Eichenmüller, die Meldung nach Art. 33 DSGVO zu erstatten, sofern ihre rechtliche Prüfung eine Meldepflicht ergibt — ohne weitere Rückfrage beim Vorstand? Hintergrund: Schnelligkeit ist hier Pflicht.</w:t>
      </w:r>
    </w:p>
    <w:p/>
    <w:p>
      <w:pPr>
        <w:pStyle w:val="Heading2"/>
      </w:pPr>
      <w:r>
        <w:rPr>
          <w:rFonts w:ascii="Times New Roman" w:hAnsi="Times New Roman"/>
        </w:rPr>
        <w:t>2. Handlungsoptionen im Überblick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Entscheidung</w:t>
            </w:r>
          </w:p>
        </w:tc>
        <w:tc>
          <w:tcPr>
            <w:tcW w:type="dxa" w:w="2268"/>
          </w:tcPr>
          <w:p>
            <w:r>
              <w:rPr>
                <w:rFonts w:ascii="Times New Roman" w:hAnsi="Times New Roman"/>
                <w:b/>
                <w:sz w:val="20"/>
              </w:rPr>
              <w:t>Option A</w:t>
            </w:r>
          </w:p>
        </w:tc>
        <w:tc>
          <w:tcPr>
            <w:tcW w:type="dxa" w:w="2268"/>
          </w:tcPr>
          <w:p>
            <w:r>
              <w:rPr>
                <w:rFonts w:ascii="Times New Roman" w:hAnsi="Times New Roman"/>
                <w:b/>
                <w:sz w:val="20"/>
              </w:rPr>
              <w:t>Option B</w:t>
            </w:r>
          </w:p>
        </w:tc>
        <w:tc>
          <w:tcPr>
            <w:tcW w:type="dxa" w:w="2268"/>
          </w:tcPr>
          <w:p>
            <w:r>
              <w:rPr>
                <w:rFonts w:ascii="Times New Roman" w:hAnsi="Times New Roman"/>
                <w:b/>
                <w:sz w:val="20"/>
              </w:rPr>
              <w:t>Empfehlung CCO</w:t>
            </w:r>
          </w:p>
        </w:tc>
      </w:tr>
      <w:tr>
        <w:tc>
          <w:tcPr>
            <w:tcW w:type="dxa" w:w="2268"/>
          </w:tcPr>
          <w:p>
            <w:r>
              <w:rPr>
                <w:rFonts w:ascii="Times New Roman" w:hAnsi="Times New Roman"/>
                <w:sz w:val="20"/>
              </w:rPr>
              <w:t>Synaptec-Eskalation</w:t>
            </w:r>
          </w:p>
        </w:tc>
        <w:tc>
          <w:tcPr>
            <w:tcW w:type="dxa" w:w="2268"/>
          </w:tcPr>
          <w:p>
            <w:r>
              <w:rPr>
                <w:rFonts w:ascii="Times New Roman" w:hAnsi="Times New Roman"/>
                <w:sz w:val="20"/>
              </w:rPr>
              <w:t>Rechtliche Schritte + Alternativsystem</w:t>
            </w:r>
          </w:p>
        </w:tc>
        <w:tc>
          <w:tcPr>
            <w:tcW w:type="dxa" w:w="2268"/>
          </w:tcPr>
          <w:p>
            <w:r>
              <w:rPr>
                <w:rFonts w:ascii="Times New Roman" w:hAnsi="Times New Roman"/>
                <w:sz w:val="20"/>
              </w:rPr>
              <w:t>Weiter warten</w:t>
            </w:r>
          </w:p>
        </w:tc>
        <w:tc>
          <w:tcPr>
            <w:tcW w:type="dxa" w:w="2268"/>
          </w:tcPr>
          <w:p>
            <w:r>
              <w:rPr>
                <w:rFonts w:ascii="Times New Roman" w:hAnsi="Times New Roman"/>
                <w:b/>
                <w:sz w:val="20"/>
              </w:rPr>
              <w:t>Option A</w:t>
            </w:r>
          </w:p>
        </w:tc>
      </w:tr>
      <w:tr>
        <w:tc>
          <w:tcPr>
            <w:tcW w:type="dxa" w:w="2268"/>
          </w:tcPr>
          <w:p>
            <w:r>
              <w:rPr>
                <w:rFonts w:ascii="Times New Roman" w:hAnsi="Times New Roman"/>
                <w:sz w:val="20"/>
              </w:rPr>
              <w:t>BR-Verhandlung</w:t>
            </w:r>
          </w:p>
        </w:tc>
        <w:tc>
          <w:tcPr>
            <w:tcW w:type="dxa" w:w="2268"/>
          </w:tcPr>
          <w:p>
            <w:r>
              <w:rPr>
                <w:rFonts w:ascii="Times New Roman" w:hAnsi="Times New Roman"/>
                <w:sz w:val="20"/>
              </w:rPr>
              <w:t>Einigungsstelle § 76 BetrVG</w:t>
            </w:r>
          </w:p>
        </w:tc>
        <w:tc>
          <w:tcPr>
            <w:tcW w:type="dxa" w:w="2268"/>
          </w:tcPr>
          <w:p>
            <w:r>
              <w:rPr>
                <w:rFonts w:ascii="Times New Roman" w:hAnsi="Times New Roman"/>
                <w:sz w:val="20"/>
              </w:rPr>
              <w:t>Verhandlung fortsetzen</w:t>
            </w:r>
          </w:p>
        </w:tc>
        <w:tc>
          <w:tcPr>
            <w:tcW w:type="dxa" w:w="2268"/>
          </w:tcPr>
          <w:p>
            <w:r>
              <w:rPr>
                <w:rFonts w:ascii="Times New Roman" w:hAnsi="Times New Roman"/>
                <w:b/>
                <w:sz w:val="20"/>
              </w:rPr>
              <w:t>Option A, wenn bis 15.05. keine Einigung</w:t>
            </w:r>
          </w:p>
        </w:tc>
      </w:tr>
      <w:tr>
        <w:tc>
          <w:tcPr>
            <w:tcW w:type="dxa" w:w="2268"/>
          </w:tcPr>
          <w:p>
            <w:r>
              <w:rPr>
                <w:rFonts w:ascii="Times New Roman" w:hAnsi="Times New Roman"/>
                <w:sz w:val="20"/>
              </w:rPr>
              <w:t>DSGVO-Meldung</w:t>
            </w:r>
          </w:p>
        </w:tc>
        <w:tc>
          <w:tcPr>
            <w:tcW w:type="dxa" w:w="2268"/>
          </w:tcPr>
          <w:p>
            <w:r>
              <w:rPr>
                <w:rFonts w:ascii="Times New Roman" w:hAnsi="Times New Roman"/>
                <w:sz w:val="20"/>
              </w:rPr>
              <w:t>DSB entscheidet autonom</w:t>
            </w:r>
          </w:p>
        </w:tc>
        <w:tc>
          <w:tcPr>
            <w:tcW w:type="dxa" w:w="2268"/>
          </w:tcPr>
          <w:p>
            <w:r>
              <w:rPr>
                <w:rFonts w:ascii="Times New Roman" w:hAnsi="Times New Roman"/>
                <w:sz w:val="20"/>
              </w:rPr>
              <w:t>Vorstand entscheidet</w:t>
            </w:r>
          </w:p>
        </w:tc>
        <w:tc>
          <w:tcPr>
            <w:tcW w:type="dxa" w:w="2268"/>
          </w:tcPr>
          <w:p>
            <w:r>
              <w:rPr>
                <w:rFonts w:ascii="Times New Roman" w:hAnsi="Times New Roman"/>
                <w:b/>
                <w:sz w:val="20"/>
              </w:rPr>
              <w:t>Option A</w:t>
            </w:r>
          </w:p>
        </w:tc>
      </w:tr>
    </w:tbl>
    <w:p/>
    <w:p>
      <w:pPr>
        <w:pStyle w:val="Heading2"/>
      </w:pPr>
      <w:r>
        <w:rPr>
          <w:rFonts w:ascii="Times New Roman" w:hAnsi="Times New Roman"/>
        </w:rPr>
        <w:t>3. Finanzieller Bedarf</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Betrag</w:t>
            </w:r>
          </w:p>
        </w:tc>
        <w:tc>
          <w:tcPr>
            <w:tcW w:type="dxa" w:w="3024"/>
          </w:tcPr>
          <w:p>
            <w:r>
              <w:rPr>
                <w:rFonts w:ascii="Times New Roman" w:hAnsi="Times New Roman"/>
                <w:b/>
                <w:sz w:val="20"/>
              </w:rPr>
              <w:t>Freigabe erforderlich</w:t>
            </w:r>
          </w:p>
        </w:tc>
      </w:tr>
      <w:tr>
        <w:tc>
          <w:tcPr>
            <w:tcW w:type="dxa" w:w="3024"/>
          </w:tcPr>
          <w:p>
            <w:r>
              <w:rPr>
                <w:rFonts w:ascii="Times New Roman" w:hAnsi="Times New Roman"/>
                <w:sz w:val="20"/>
              </w:rPr>
              <w:t>Rechtsberatung Synaptec (Vertragsdurchsetzung)</w:t>
            </w:r>
          </w:p>
        </w:tc>
        <w:tc>
          <w:tcPr>
            <w:tcW w:type="dxa" w:w="3024"/>
          </w:tcPr>
          <w:p>
            <w:r>
              <w:rPr>
                <w:rFonts w:ascii="Times New Roman" w:hAnsi="Times New Roman"/>
                <w:sz w:val="20"/>
              </w:rPr>
              <w:t>50.000 EUR</w:t>
            </w:r>
          </w:p>
        </w:tc>
        <w:tc>
          <w:tcPr>
            <w:tcW w:type="dxa" w:w="3024"/>
          </w:tcPr>
          <w:p>
            <w:r>
              <w:rPr>
                <w:rFonts w:ascii="Times New Roman" w:hAnsi="Times New Roman"/>
                <w:sz w:val="20"/>
              </w:rPr>
              <w:t>Ja</w:t>
            </w:r>
          </w:p>
        </w:tc>
      </w:tr>
      <w:tr>
        <w:tc>
          <w:tcPr>
            <w:tcW w:type="dxa" w:w="3024"/>
          </w:tcPr>
          <w:p>
            <w:r>
              <w:rPr>
                <w:rFonts w:ascii="Times New Roman" w:hAnsi="Times New Roman"/>
                <w:sz w:val="20"/>
              </w:rPr>
              <w:t>Alternativsystem-Evaluation (parallel)</w:t>
            </w:r>
          </w:p>
        </w:tc>
        <w:tc>
          <w:tcPr>
            <w:tcW w:type="dxa" w:w="3024"/>
          </w:tcPr>
          <w:p>
            <w:r>
              <w:rPr>
                <w:rFonts w:ascii="Times New Roman" w:hAnsi="Times New Roman"/>
                <w:sz w:val="20"/>
              </w:rPr>
              <w:t>120.000 EUR</w:t>
            </w:r>
          </w:p>
        </w:tc>
        <w:tc>
          <w:tcPr>
            <w:tcW w:type="dxa" w:w="3024"/>
          </w:tcPr>
          <w:p>
            <w:r>
              <w:rPr>
                <w:rFonts w:ascii="Times New Roman" w:hAnsi="Times New Roman"/>
                <w:sz w:val="20"/>
              </w:rPr>
              <w:t>Ja</w:t>
            </w:r>
          </w:p>
        </w:tc>
      </w:tr>
      <w:tr>
        <w:tc>
          <w:tcPr>
            <w:tcW w:type="dxa" w:w="3024"/>
          </w:tcPr>
          <w:p>
            <w:r>
              <w:rPr>
                <w:rFonts w:ascii="Times New Roman" w:hAnsi="Times New Roman"/>
                <w:sz w:val="20"/>
              </w:rPr>
              <w:t>Einigungsstelle BetrVG (geschätzt)</w:t>
            </w:r>
          </w:p>
        </w:tc>
        <w:tc>
          <w:tcPr>
            <w:tcW w:type="dxa" w:w="3024"/>
          </w:tcPr>
          <w:p>
            <w:r>
              <w:rPr>
                <w:rFonts w:ascii="Times New Roman" w:hAnsi="Times New Roman"/>
                <w:sz w:val="20"/>
              </w:rPr>
              <w:t>45.000 EUR</w:t>
            </w:r>
          </w:p>
        </w:tc>
        <w:tc>
          <w:tcPr>
            <w:tcW w:type="dxa" w:w="3024"/>
          </w:tcPr>
          <w:p>
            <w:r>
              <w:rPr>
                <w:rFonts w:ascii="Times New Roman" w:hAnsi="Times New Roman"/>
                <w:sz w:val="20"/>
              </w:rPr>
              <w:t>Ja</w:t>
            </w:r>
          </w:p>
        </w:tc>
      </w:tr>
      <w:tr>
        <w:tc>
          <w:tcPr>
            <w:tcW w:type="dxa" w:w="3024"/>
          </w:tcPr>
          <w:p>
            <w:r>
              <w:rPr>
                <w:rFonts w:ascii="Times New Roman" w:hAnsi="Times New Roman"/>
                <w:sz w:val="20"/>
              </w:rPr>
              <w:t>Gesamt</w:t>
            </w:r>
          </w:p>
        </w:tc>
        <w:tc>
          <w:tcPr>
            <w:tcW w:type="dxa" w:w="3024"/>
          </w:tcPr>
          <w:p>
            <w:r>
              <w:rPr>
                <w:rFonts w:ascii="Times New Roman" w:hAnsi="Times New Roman"/>
                <w:b/>
                <w:sz w:val="20"/>
              </w:rPr>
              <w:t>215.000 EUR</w:t>
            </w:r>
          </w:p>
        </w:tc>
        <w:tc>
          <w:tcPr>
            <w:tcW w:type="dxa" w:w="3024"/>
          </w:tcPr>
          <w:p>
            <w:r>
              <w:rPr>
                <w:rFonts w:ascii="Times New Roman" w:hAnsi="Times New Roman"/>
                <w:sz w:val="20"/>
              </w:rPr>
              <w:t>Außerhalb bisherigem Budget</w:t>
            </w:r>
          </w:p>
        </w:tc>
      </w:tr>
    </w:tbl>
    <w:p/>
    <w:p>
      <w:pPr>
        <w:pStyle w:val="Heading2"/>
      </w:pPr>
      <w:r>
        <w:rPr>
          <w:rFonts w:ascii="Times New Roman" w:hAnsi="Times New Roman"/>
        </w:rPr>
        <w:t>4. Votum der CCO</w:t>
      </w:r>
    </w:p>
    <w:p>
      <w:pPr>
        <w:jc w:val="left"/>
      </w:pPr>
      <w:r>
        <w:t>Ich empfehle, alle drei Entscheidungen so zu treffen, wie unter Option A beschrieben. Das Risiko eines Scheiterns der KI-VO-Konformität bis 02.08.2026 ist aus meiner Sicht erheblicher als der finanzielle Aufwand. Ein Betrieb von RecruitAI ohne Konformitätsnachweis nach dem 02.08.2026 ist rechtlich unzulässig und stellt für den Vorstand eine persönliche Haftung nach § 93 AktG dar.</w:t>
      </w:r>
    </w:p>
    <w:p>
      <w:pPr>
        <w:jc w:val="left"/>
      </w:pPr>
      <w:r>
        <w:rPr>
          <w:b/>
        </w:rPr>
        <w:t>Bitte teilen Sie uns Ihre Entscheidung bis 22. April 2026 mit.</w:t>
      </w:r>
    </w:p>
    <w:p>
      <w:pPr>
        <w:jc w:val="left"/>
      </w:pPr>
      <w:r>
        <w:t>Mit freundlichen Grüßen</w:t>
      </w:r>
    </w:p>
    <w:p>
      <w:pPr>
        <w:jc w:val="left"/>
      </w:pPr>
      <w:r>
        <w:rPr>
          <w:b/>
        </w:rPr>
        <w:t>Annegret Kühnhausen, CCO</w:t>
      </w:r>
    </w:p>
    <w:p>
      <w:pPr>
        <w:jc w:val="left"/>
      </w:pPr>
      <w:r>
        <w:rPr>
          <w:b/>
        </w:rPr>
        <w:t>Dr. Falk Roosendaal, KI-Komitee-Vorsitz</w:t>
      </w:r>
    </w:p>
    <w:p/>
    <w:p>
      <w:pPr>
        <w:jc w:val="left"/>
      </w:pPr>
      <w:r>
        <w:rPr>
          <w:i/>
        </w:rPr>
        <w:t>Aktenzeichen: TI-KI-2026-007. Datum: 15.04.2026. VERTRAULICH.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