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Notiz: Erstgespräch Mandatsaufnahme — Windgassen</w:t>
      </w:r>
    </w:p>
    <w:p>
      <w:pPr>
        <w:jc w:val="left"/>
      </w:pPr>
      <w:r>
        <w:rPr>
          <w:b/>
        </w:rPr>
        <w:t>Datum:</w:t>
      </w:r>
      <w:r>
        <w:t xml:space="preserve"> 14.01.2026, 10:30–12:15 Uhr</w:t>
      </w:r>
    </w:p>
    <w:p>
      <w:pPr>
        <w:jc w:val="left"/>
      </w:pPr>
      <w:r>
        <w:rPr>
          <w:b/>
        </w:rPr>
        <w:t>Ort:</w:t>
      </w:r>
      <w:r>
        <w:t xml:space="preserve"> Kanzlei Kreidler-Bremer, Mittelweg 147, Hamburg</w:t>
      </w:r>
    </w:p>
    <w:p>
      <w:pPr>
        <w:jc w:val="left"/>
      </w:pPr>
      <w:r>
        <w:rPr>
          <w:b/>
        </w:rPr>
        <w:t>Teilnehmer:</w:t>
      </w:r>
      <w:r>
        <w:t xml:space="preserve"> Mira Windgassen (Mandantin), Dr. Antonia Kreidler-Bremer (RA)</w:t>
      </w:r>
    </w:p>
    <w:p>
      <w:pPr>
        <w:jc w:val="left"/>
      </w:pPr>
      <w:r>
        <w:rPr>
          <w:b/>
        </w:rPr>
        <w:t>Protokoll:</w:t>
      </w:r>
      <w:r>
        <w:t xml:space="preserve"> Hartenberg (Sekretariat, nicht anwesend bei Beratung, Zusammenfassung nach Diktat)</w:t>
      </w:r>
    </w:p>
    <w:p/>
    <w:p>
      <w:pPr>
        <w:pStyle w:val="Heading2"/>
      </w:pPr>
      <w:r>
        <w:rPr>
          <w:rFonts w:ascii="Times New Roman" w:hAnsi="Times New Roman"/>
        </w:rPr>
        <w:t>Sachverhaltserfassung (chronologisch)</w:t>
      </w:r>
    </w:p>
    <w:p>
      <w:pPr>
        <w:pStyle w:val="Heading3"/>
      </w:pPr>
      <w:r>
        <w:rPr>
          <w:rFonts w:ascii="Times New Roman" w:hAnsi="Times New Roman"/>
        </w:rPr>
        <w:t>November 2025 — Entdeckung ImagineArt-Problem</w:t>
      </w:r>
    </w:p>
    <w:p>
      <w:pPr>
        <w:jc w:val="left"/>
      </w:pPr>
      <w:r>
        <w:t xml:space="preserve">Frau Windgassen berichtet, sie habe im November 2025 durch einen Kollegen (Fotograf Rainer Kühle, der für GEO tätig ist) auf den KI-Bildgenerator </w:t>
      </w:r>
      <w:r>
        <w:rPr>
          <w:b/>
        </w:rPr>
        <w:t>ImagineArt Pro</w:t>
      </w:r>
      <w:r>
        <w:t xml:space="preserve"> (Anbieter: ImagineArt Inc., Delaware, USA) aufmerksam gemacht bekommen. Kühle habe in Fachforen gelesen, dass ImagineArt auf LAION-5B-Daten basiere. Windgassen habe daraufhin selbst Prompts eingegeben, die ihren Stil imitierten:</w:t>
      </w:r>
    </w:p>
    <w:p>
      <w:pPr>
        <w:pStyle w:val="ListBullet"/>
      </w:pPr>
      <w:r>
        <w:t>„moody coastal marshland photography, twilight, documentary style, Eastern Germany"</w:t>
      </w:r>
    </w:p>
    <w:p>
      <w:pPr>
        <w:pStyle w:val="ListBullet"/>
      </w:pPr>
      <w:r>
        <w:t>„reportage photo estuary Baltic Sea abandoned fishing village evening light"</w:t>
      </w:r>
    </w:p>
    <w:p>
      <w:pPr>
        <w:jc w:val="left"/>
      </w:pPr>
      <w:r>
        <w:t>Die erzeugten Bilder zeigten nach Einschätzung von Windgassen unverwechselbare Charakteristika ihrer Bodden-Reportage-Serie „Tristesse am Bodden" (veröffentlicht in Mare Nr. 141, April/Mai 2023):</w:t>
      </w:r>
    </w:p>
    <w:p>
      <w:pPr>
        <w:pStyle w:val="ListBullet"/>
      </w:pPr>
      <w:r>
        <w:t>Spezifische Lichtkomposition bei Gegenlicht über Schilfgürtel</w:t>
      </w:r>
    </w:p>
    <w:p>
      <w:pPr>
        <w:pStyle w:val="ListBullet"/>
      </w:pPr>
      <w:r>
        <w:t>Framing-Stil: untere Bildhälfte spiegelnd, starke Horizontlinie, menschenleere Motive</w:t>
      </w:r>
    </w:p>
    <w:p>
      <w:pPr>
        <w:pStyle w:val="ListBullet"/>
      </w:pPr>
      <w:r>
        <w:t>Farbtemperatur (kühles Blaugrau, spezifische Stimmung)</w:t>
      </w:r>
    </w:p>
    <w:p>
      <w:pPr>
        <w:jc w:val="left"/>
      </w:pPr>
      <w:r>
        <w:t>Windgassen zeigt drei ausgedruckte Screenshots aus ImagineArt Pro (liegen bei Akte, vgl. Anlage J-3).</w:t>
      </w:r>
    </w:p>
    <w:p>
      <w:pPr>
        <w:pStyle w:val="Heading3"/>
      </w:pPr>
      <w:r>
        <w:rPr>
          <w:rFonts w:ascii="Times New Roman" w:hAnsi="Times New Roman"/>
        </w:rPr>
        <w:t>Dezember 2025 — LAION-Recherche</w:t>
      </w:r>
    </w:p>
    <w:p>
      <w:pPr>
        <w:jc w:val="left"/>
      </w:pPr>
      <w:r>
        <w:t>Windgassen hat über das LAION-Dataset-Search-Tool (https://laion.ai) nach ihren Bildern gesucht. Sie habe nach eigenen Angaben Treffer erzielt für URLs, die auf ihre Domain windgassen-photo.de verweisen — konkret mehrere Thumbnails aus dem Portfolio-Bereich. Das sei aber nicht mehr eindeutig nachvollziehbar, da LAION den öffentlichen Datensatz-Viewer Ende 2024 stark eingeschränkt habe (Hinweis: Auslesedienst-Abschalten nach Klagen u.a. LAION e.V. Deutschland).</w:t>
      </w:r>
    </w:p>
    <w:p>
      <w:pPr>
        <w:jc w:val="left"/>
      </w:pPr>
      <w:r>
        <w:rPr>
          <w:b/>
        </w:rPr>
        <w:t>Offene Frage (notiert):</w:t>
      </w:r>
      <w:r>
        <w:t xml:space="preserve"> Zeitpunkt des LAION-Abrufläufe. § 44b UrhG ist am 07.06.2021 in Kraft getreten. Wurde die Site vor oder nach diesem Datum abgerufen? Windgassen gibt an, robots.txt habe seit Juni 2019 folgendes geblockt:</w:t>
      </w:r>
    </w:p>
    <w:p>
      <w:pPr>
        <w:jc w:val="left"/>
      </w:pPr>
      <w:r>
        <w:t>```</w:t>
      </w:r>
    </w:p>
    <w:p>
      <w:pPr>
        <w:jc w:val="left"/>
      </w:pPr>
      <w:r>
        <w:t>User-agent: *</w:t>
      </w:r>
    </w:p>
    <w:p>
      <w:pPr>
        <w:jc w:val="left"/>
      </w:pPr>
      <w:r>
        <w:t>Disallow: /portfolio/</w:t>
      </w:r>
    </w:p>
    <w:p>
      <w:pPr>
        <w:jc w:val="left"/>
      </w:pPr>
      <w:r>
        <w:t>Disallow: /shop/</w:t>
      </w:r>
    </w:p>
    <w:p>
      <w:pPr>
        <w:jc w:val="left"/>
      </w:pPr>
      <w:r>
        <w:t>```</w:t>
      </w:r>
    </w:p>
    <w:p>
      <w:pPr>
        <w:jc w:val="left"/>
      </w:pPr>
      <w:r>
        <w:t xml:space="preserve">Sie sei sich aber nicht sicher, ob das den KI-Abrufwerkzeugen ausreiche. Außerdem habe sie erst im Herbst 2023 (nach einer Branchenveranstaltung des BFF — Berufsverband Freie Fotografen und Filmgestalter) eine </w:t>
      </w:r>
      <w:r>
        <w:t>ai.txt</w:t>
      </w:r>
      <w:r>
        <w:t>-Datei eingerichtet. Diese liege ihr als Screenshot vor (Anlage P-2 in der Akte), aber die Serverlog-Dokumentation sei unvollständig.</w:t>
      </w:r>
    </w:p>
    <w:p>
      <w:pPr>
        <w:pStyle w:val="Heading3"/>
      </w:pPr>
      <w:r>
        <w:rPr>
          <w:rFonts w:ascii="Times New Roman" w:hAnsi="Times New Roman"/>
        </w:rPr>
        <w:t>Januar 2026 — Filesharing-Abmahnung</w:t>
      </w:r>
    </w:p>
    <w:p>
      <w:pPr>
        <w:jc w:val="left"/>
      </w:pPr>
      <w:r>
        <w:t>Am 09.01.2026 sei eine Abmahnung von Quetschenpaua &amp; Kollegen Rechtsanwälte, München, im Briefkasten gewesen. Ihr Sohn Felix, 14 Jahre, habe zugegeben, über BitTorrent drei Filme geteilt zu haben. Felix benutze einen PC im Kinderzimmer, die Eltern hätten kein Jugendschutz-Filter eingerichtet gehabt. Windgassen habe einen eigenen Router (FritzBox 7590, Anschluss Deutsche Telekom) — sie ist alleinige Anschlussinhaberin, ihr Ehemann Martin Windgassen arbeite häufig im Homeoffice, sei aber kein technikaffiner Nutzer. Außer Felix und Martin gäbe es keine weiteren Personen mit regelmäßigem Zugang zum WLAN.</w:t>
      </w:r>
    </w:p>
    <w:p>
      <w:pPr>
        <w:jc w:val="left"/>
      </w:pPr>
      <w:r>
        <w:t>Abgemahnte Werke laut Schreiben Quetschenpaua &amp; Kollegen:</w:t>
      </w:r>
    </w:p>
    <w:p>
      <w:pPr>
        <w:pStyle w:val="ListNumber"/>
      </w:pPr>
      <w:r>
        <w:t>„Oppenheimer" (Christopher Nolan, Universal, 2023)</w:t>
      </w:r>
    </w:p>
    <w:p>
      <w:pPr>
        <w:pStyle w:val="ListNumber"/>
      </w:pPr>
      <w:r>
        <w:t>„Barbie" (Greta Gerwig, Warner Bros., 2023)</w:t>
      </w:r>
    </w:p>
    <w:p>
      <w:pPr>
        <w:pStyle w:val="ListNumber"/>
      </w:pPr>
      <w:r>
        <w:t>„Mission Impossible: Dead Reckoning Part One" (McQuarrie, Paramount, 2023)</w:t>
      </w:r>
    </w:p>
    <w:p>
      <w:pPr>
        <w:jc w:val="left"/>
      </w:pPr>
      <w:r>
        <w:t>Forderung: 850 EUR Lizenzschadenersatz + 1.295 EUR Abmahnkosten, gesamt 2.145 EUR. Ü-Frist: 30.01.2026.</w:t>
      </w:r>
    </w:p>
    <w:p>
      <w:pPr>
        <w:pStyle w:val="Heading3"/>
      </w:pPr>
      <w:r>
        <w:rPr>
          <w:rFonts w:ascii="Times New Roman" w:hAnsi="Times New Roman"/>
        </w:rPr>
        <w:t>Lizenzstreit Mare</w:t>
      </w:r>
    </w:p>
    <w:p>
      <w:pPr>
        <w:jc w:val="left"/>
      </w:pPr>
      <w:r>
        <w:t>Mare GmbH (Verlagshaus, Chefredakteur Nikolaus Gelpke jr.) habe eine Anfrage geschickt (E-Mail vom 12.01.2026): Man plane einen Bildband „Küstenmelancholie — Norddeutschland in Bildern", worin die Bodden-Reportage als vollständige Strecke (16 Seiten) erscheinen solle. Man biete „Wiederholungsdruck zu einem pauschalen All-in-Vergütungssatz von 1.200 EUR". Windgassen will mindestens 4.800 EUR und eine Verkaufsbeteiligung von 2 % auf Ladenpreis.</w:t>
      </w:r>
    </w:p>
    <w:p>
      <w:pPr>
        <w:jc w:val="left"/>
      </w:pPr>
      <w:r>
        <w:t xml:space="preserve">Ursprünglicher Lizenzvertrag von 2019 ist unklar: Windgassen meint, nur Erstveröffentlichungsrecht vergeben zu haben; Mare hat dem Lizenzvertrag den Stempel „Buyout Print International" aufgedrückt. Vertrag liegt dieser Akte als Scan bei (Anlage, vgl. </w:t>
      </w:r>
      <w:r>
        <w:t>docx/</w:t>
      </w:r>
      <w:r>
        <w:t xml:space="preserve"> — noch zu beschaffen).</w:t>
      </w:r>
    </w:p>
    <w:p>
      <w:pPr>
        <w:pStyle w:val="Heading3"/>
      </w:pPr>
      <w:r>
        <w:rPr>
          <w:rFonts w:ascii="Times New Roman" w:hAnsi="Times New Roman"/>
        </w:rPr>
        <w:t>Presserechtliche Gegendarstellung</w:t>
      </w:r>
    </w:p>
    <w:p>
      <w:pPr>
        <w:jc w:val="left"/>
      </w:pPr>
      <w:r>
        <w:t xml:space="preserve">Der </w:t>
      </w:r>
      <w:r>
        <w:rPr>
          <w:b/>
        </w:rPr>
        <w:t>Eppendorfer Wochenanzeiger</w:t>
      </w:r>
      <w:r>
        <w:t xml:space="preserve"> (Lokalblatt, Auflage ca. 18.000, erscheint donnerstags) hatte in seiner Ausgabe vom 08.01.2026 einen Artikel „Fotografin soll Demos-Bilder gestellt haben" veröffentlicht. Der Artikel bezieht sich auf Windgassens Reportage über Klimademonstrationen in Hamburg-Altona (November 2025, publiziert in der ZEIT-Beilage). Ein anonymer Leser habe dem Blatt mitgeteilt, Windgassen habe „die Demonstranten angewiesen, bestimmte Positionen einzunehmen, um dramatischere Bilder zu erhalten".</w:t>
      </w:r>
    </w:p>
    <w:p>
      <w:pPr>
        <w:jc w:val="left"/>
      </w:pPr>
      <w:r>
        <w:t>Windgassen bestreitet dies vehement. Sie habe lediglich Demonstrantinnen gefragt, ob sie ein Porträt machen dürfe — das sei keine Inszenierung. Gesprächspartnerin beim EWA: Chefredakteurin Gerlinde Pasold.</w:t>
      </w:r>
    </w:p>
    <w:p/>
    <w:p>
      <w:pPr>
        <w:pStyle w:val="Heading2"/>
      </w:pPr>
      <w:r>
        <w:rPr>
          <w:rFonts w:ascii="Times New Roman" w:hAnsi="Times New Roman"/>
        </w:rPr>
        <w:t>Einschätzung Dr. Kreidler-Bremer (Diktatnotiz)</w:t>
      </w:r>
    </w:p>
    <w:p>
      <w:pPr>
        <w:jc w:val="left"/>
      </w:pPr>
      <w:r>
        <w:t>Vier Mandatsschwerpunkte — Priorisierung nach Fristendruck:</w:t>
      </w:r>
    </w:p>
    <w:p>
      <w:pPr>
        <w:pStyle w:val="ListNumber"/>
      </w:pPr>
      <w:r>
        <w:rPr>
          <w:b/>
        </w:rPr>
        <w:t>Filesharing:</w:t>
      </w:r>
      <w:r>
        <w:t xml:space="preserve"> Frist 30.01. — sofort. Kein Klageziel; Ziel: modifizierte Ü, keine sofortige Zahlung.</w:t>
      </w:r>
    </w:p>
    <w:p>
      <w:pPr>
        <w:pStyle w:val="ListNumber"/>
      </w:pPr>
      <w:r>
        <w:rPr>
          <w:b/>
        </w:rPr>
        <w:t>Gegendarstellung:</w:t>
      </w:r>
      <w:r>
        <w:t xml:space="preserve"> Frist individuell, LPG Hamburg § 11 Absatz 1 Satz 1 gilt — Verlangen ohne Verzug einreichen.</w:t>
      </w:r>
    </w:p>
    <w:p>
      <w:pPr>
        <w:pStyle w:val="ListNumber"/>
      </w:pPr>
      <w:r>
        <w:rPr>
          <w:b/>
        </w:rPr>
        <w:t>ImagineArt-Klage LG Hamburg:</w:t>
      </w:r>
      <w:r>
        <w:t xml:space="preserve"> Strategisch dringend; Verjährungsfragen, LAION-Datierung klären.</w:t>
      </w:r>
    </w:p>
    <w:p>
      <w:pPr>
        <w:pStyle w:val="ListNumber"/>
      </w:pPr>
      <w:r>
        <w:rPr>
          <w:b/>
        </w:rPr>
        <w:t>Lizenzstreit Mare:</w:t>
      </w:r>
      <w:r>
        <w:t xml:space="preserve"> Keine Frist, aber Bandherstellung läuft — Mare-Deadline intern März 2026.</w:t>
      </w:r>
    </w:p>
    <w:p/>
    <w:p>
      <w:pPr>
        <w:jc w:val="left"/>
      </w:pPr>
      <w:r>
        <w:rPr>
          <w:i/>
        </w:rPr>
        <w:t>Diktat erledigt: 14.01.2026 14:17 Uhr — Dr. AKB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