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Rechtsgutachten (Entwurf): TDM-Opt-out nach § 44b UrhG — Windgassen ./. ImagineArt Inc.</w:t>
      </w:r>
    </w:p>
    <w:p>
      <w:pPr>
        <w:jc w:val="left"/>
      </w:pPr>
      <w:r>
        <w:rPr>
          <w:b/>
        </w:rPr>
        <w:t>Von:</w:t>
      </w:r>
      <w:r>
        <w:t xml:space="preserve"> Dr. Antonia Kreidler-Bremer</w:t>
      </w:r>
    </w:p>
    <w:p>
      <w:pPr>
        <w:jc w:val="left"/>
      </w:pPr>
      <w:r>
        <w:rPr>
          <w:b/>
        </w:rPr>
        <w:t>An:</w:t>
      </w:r>
      <w:r>
        <w:t xml:space="preserve"> Akten 26-UMR-0084</w:t>
      </w:r>
    </w:p>
    <w:p>
      <w:pPr>
        <w:jc w:val="left"/>
      </w:pPr>
      <w:r>
        <w:rPr>
          <w:b/>
        </w:rPr>
        <w:t>Datum:</w:t>
      </w:r>
      <w:r>
        <w:t xml:space="preserve"> 20.01.2026</w:t>
      </w:r>
    </w:p>
    <w:p>
      <w:pPr>
        <w:jc w:val="left"/>
      </w:pPr>
      <w:r>
        <w:rPr>
          <w:b/>
        </w:rPr>
        <w:t>Betreff:</w:t>
      </w:r>
      <w:r>
        <w:t xml:space="preserve"> Prüfung Wirksamkeit des Opt-out, Schutzbereichsbestimmung, Haftung ImagineArt Inc.</w:t>
      </w:r>
    </w:p>
    <w:p/>
    <w:p>
      <w:pPr>
        <w:pStyle w:val="Heading2"/>
      </w:pPr>
      <w:r>
        <w:rPr>
          <w:rFonts w:ascii="Times New Roman" w:hAnsi="Times New Roman"/>
        </w:rPr>
        <w:t>I. Sachverhalt (komprimiert)</w:t>
      </w:r>
    </w:p>
    <w:p>
      <w:pPr>
        <w:jc w:val="left"/>
      </w:pPr>
      <w:r>
        <w:t>Mira Windgassen ist Inhaberin der Urheberrechte an ca. 18.400 Lichtbildwerken, die über ihre Domain windgassen-photo.de öffentlich zugänglich gemacht wurden. Die Bilder wurden — nach gegenwärtiger Erkenntnis — in den Trainingsdatensatz LAION-5B aufgenommen, der u.a. als Grundlage für das Stable-Diffusion-Training und dessen Nachfolgeprodukte diente. ImagineArt Inc. (Delaware) betreibt den Dienst ImagineArt Pro, der nach Eigenangaben auf einem aus LAION-5B-Daten trainierten Modell basiert (Pressemitteilung ImagineArt Inc. vom 14.03.2025, Stand der Akte: Printout).</w:t>
      </w:r>
    </w:p>
    <w:p/>
    <w:p>
      <w:pPr>
        <w:pStyle w:val="Heading2"/>
      </w:pPr>
      <w:r>
        <w:rPr>
          <w:rFonts w:ascii="Times New Roman" w:hAnsi="Times New Roman"/>
        </w:rPr>
        <w:t>II. Rechtsrahmen</w:t>
      </w:r>
    </w:p>
    <w:p>
      <w:pPr>
        <w:pStyle w:val="Heading3"/>
      </w:pPr>
      <w:r>
        <w:rPr>
          <w:rFonts w:ascii="Times New Roman" w:hAnsi="Times New Roman"/>
        </w:rPr>
        <w:t>1. § 44b UrhG — Text- und Data-Mining</w:t>
      </w:r>
    </w:p>
    <w:p>
      <w:pPr>
        <w:jc w:val="left"/>
      </w:pPr>
      <w:r>
        <w:t xml:space="preserve">§ 44b Abs. 1 UrhG (in Kraft seit 07.06.2021, Umsetzung Art. 3 und 4 DSM-RL 2019/790/EU) erlaubt das automatisierte Auslesen, Kopieren und Extrahieren von Werken zum Zwecke des Text- und Data-Mining. Diese Erlaubnis steht aber unter dem Vorbehalt, dass der Rechtsinhaber die Nutzung </w:t>
      </w:r>
      <w:r>
        <w:rPr>
          <w:b/>
        </w:rPr>
        <w:t>nicht vorbehalten</w:t>
      </w:r>
      <w:r>
        <w:t xml:space="preserve"> hat (§ 44b Abs. 3 UrhG).</w:t>
      </w:r>
    </w:p>
    <w:p>
      <w:pPr>
        <w:jc w:val="left"/>
      </w:pPr>
      <w:r>
        <w:t>Der Vorbehalt muss:</w:t>
      </w:r>
    </w:p>
    <w:p>
      <w:pPr>
        <w:pStyle w:val="ListBullet"/>
      </w:pPr>
      <w:r>
        <w:rPr>
          <w:b/>
        </w:rPr>
        <w:t>maschinenlesbar</w:t>
      </w:r>
      <w:r>
        <w:t xml:space="preserve"> erklärt werden (z.B. robots.txt, Meta-Tags, Lizenzerklärungen in standardisiertem Format),</w:t>
      </w:r>
    </w:p>
    <w:p>
      <w:pPr>
        <w:pStyle w:val="ListBullet"/>
      </w:pPr>
      <w:r>
        <w:rPr>
          <w:b/>
        </w:rPr>
        <w:t>eindeutig</w:t>
      </w:r>
      <w:r>
        <w:t xml:space="preserve"> sein (nicht bloß allgemeine Nutzungsbeschränkungen),</w:t>
      </w:r>
    </w:p>
    <w:p>
      <w:pPr>
        <w:pStyle w:val="ListBullet"/>
      </w:pPr>
      <w:r>
        <w:t xml:space="preserve">zum Zeitpunkt des Zugriffs </w:t>
      </w:r>
      <w:r>
        <w:rPr>
          <w:b/>
        </w:rPr>
        <w:t>bereits vorliegen</w:t>
      </w:r>
      <w:r>
        <w:t xml:space="preserve"> (ex-ante-Anforderung).</w:t>
      </w:r>
    </w:p>
    <w:p>
      <w:pPr>
        <w:pStyle w:val="Heading3"/>
      </w:pPr>
      <w:r>
        <w:rPr>
          <w:rFonts w:ascii="Times New Roman" w:hAnsi="Times New Roman"/>
        </w:rPr>
        <w:t>2. Zeitpunkt der Nutzungshandlung</w:t>
      </w:r>
    </w:p>
    <w:p>
      <w:pPr>
        <w:jc w:val="left"/>
      </w:pPr>
      <w:r>
        <w:t xml:space="preserve">§ 44b UrhG gilt für Nutzungshandlungen, die </w:t>
      </w:r>
      <w:r>
        <w:rPr>
          <w:b/>
        </w:rPr>
        <w:t>nach dem 07.06.2021</w:t>
      </w:r>
      <w:r>
        <w:t xml:space="preserve"> vorgenommen wurden. LAION-5B-Abrufzeiträume: Die öffentliche Dokumentation von LAION e.V. datiert den Hauptabruf auf </w:t>
      </w:r>
      <w:r>
        <w:rPr>
          <w:b/>
        </w:rPr>
        <w:t>April bis September 2021</w:t>
      </w:r>
      <w:r>
        <w:t xml:space="preserve"> — also zeitlich nach Inkrafttreten der Norm. Ob der spezifische Abrufdurchgang, der Windgassens Bilder erfasste, vor oder nach dem 07.06.2021 stattfand, ist streitig und durch Serverlogdaten zu belegen (s.u.).</w:t>
      </w:r>
    </w:p>
    <w:p>
      <w:pPr>
        <w:pStyle w:val="Heading3"/>
      </w:pPr>
      <w:r>
        <w:rPr>
          <w:rFonts w:ascii="Times New Roman" w:hAnsi="Times New Roman"/>
        </w:rPr>
        <w:t>3. Wirksamkeit robots.txt als Vorbehalt</w:t>
      </w:r>
    </w:p>
    <w:p>
      <w:pPr>
        <w:jc w:val="left"/>
      </w:pPr>
      <w:r>
        <w:t>Die Mustergespräche mit der Mandantin (vgl. Aktstück 02) ergeben: Die robots.txt seit Juni 2019 enthielt:</w:t>
      </w:r>
    </w:p>
    <w:p>
      <w:pPr>
        <w:jc w:val="left"/>
      </w:pPr>
      <w:r>
        <w:t>```</w:t>
      </w:r>
    </w:p>
    <w:p>
      <w:pPr>
        <w:jc w:val="left"/>
      </w:pPr>
      <w:r>
        <w:t>User-agent: *</w:t>
      </w:r>
    </w:p>
    <w:p>
      <w:pPr>
        <w:jc w:val="left"/>
      </w:pPr>
      <w:r>
        <w:t>Disallow: /portfolio/</w:t>
      </w:r>
    </w:p>
    <w:p>
      <w:pPr>
        <w:jc w:val="left"/>
      </w:pPr>
      <w:r>
        <w:t>Disallow: /shop/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Problem:</w:t>
      </w:r>
      <w:r>
        <w:t xml:space="preserve"> Diese Konfiguration blockiert alle Bots vom Zugriff auf </w:t>
      </w:r>
      <w:r>
        <w:t>/portfolio/</w:t>
      </w:r>
      <w:r>
        <w:t xml:space="preserve"> und </w:t>
      </w:r>
      <w:r>
        <w:t>/shop/</w:t>
      </w:r>
      <w:r>
        <w:t>. Ob sämtliche Bildwerke unter diesen Pfaden lagen oder auch unter dem Root-Verzeichnis (</w:t>
      </w:r>
      <w:r>
        <w:t>/</w:t>
      </w:r>
      <w:r>
        <w:t>) abrufbar waren, ist unklar. Windgassen betreibt seit 2016 ein WordPress-basiertes Portfolio; Bilder können über direkte URLs (</w:t>
      </w:r>
      <w:r>
        <w:t>/wp-content/uploads/</w:t>
      </w:r>
      <w:r>
        <w:t xml:space="preserve">) abgerufen werden, ohne unter </w:t>
      </w:r>
      <w:r>
        <w:t>/portfolio/</w:t>
      </w:r>
      <w:r>
        <w:t xml:space="preserve"> zu fallen.</w:t>
      </w:r>
    </w:p>
    <w:p>
      <w:pPr>
        <w:jc w:val="left"/>
      </w:pPr>
      <w:r>
        <w:rPr>
          <w:b/>
        </w:rPr>
        <w:t>Rechtlich:</w:t>
      </w:r>
      <w:r>
        <w:t xml:space="preserve"> Das OLG Hamburg hat in frühen Entscheidungen zu Web-Abrufdiensten (betreffend Suchmaschinen) die robots.txt als technischen Schutzmechanismus i.S.v. § 95a UrhG anerkannt. Für den spezifischen Kontext § 44b Abs. 3 UrhG fehlt Rechtsprechung. Der Gesetzeswortlaut verlangt nur Maschinenlesbarkeit. Streitig ist, ob eine allgemeine </w:t>
      </w:r>
      <w:r>
        <w:t>Disallow: /portfolio/</w:t>
      </w:r>
      <w:r>
        <w:t xml:space="preserve"> den Anforderungen genügt oder ob ein expliziter TDM-/KI-Vorbehalt erforderlich ist.</w:t>
      </w:r>
    </w:p>
    <w:p>
      <w:pPr>
        <w:jc w:val="left"/>
      </w:pPr>
      <w:r>
        <w:rPr>
          <w:b/>
        </w:rPr>
        <w:t>Literatur:</w:t>
      </w:r>
      <w:r>
        <w:t xml:space="preserve"> Grünberger/Leenen, GRUR 2022, 805 ff. sprechen für weite Auslegung: Jede maschinenlesbar erklärte Sperrung eines Nutzungstyps, der das TDM einschließt, erfülle § 44b Abs. 3 UrhG. Die Gegenmeinung (Dreier/Schulze, § 44b Rn. 43) verlangt konkrete Benennung des TDM-Zwecks.</w:t>
      </w:r>
    </w:p>
    <w:p>
      <w:pPr>
        <w:pStyle w:val="Heading3"/>
      </w:pPr>
      <w:r>
        <w:rPr>
          <w:rFonts w:ascii="Times New Roman" w:hAnsi="Times New Roman"/>
        </w:rPr>
        <w:t>4. ai.txt-Datei (ab Oktober 2023)</w:t>
      </w:r>
    </w:p>
    <w:p>
      <w:pPr>
        <w:jc w:val="left"/>
      </w:pPr>
      <w:r>
        <w:t xml:space="preserve">Windgassen hat ab Oktober 2023 eine </w:t>
      </w:r>
      <w:r>
        <w:t>ai.txt</w:t>
      </w:r>
      <w:r>
        <w:t>-Datei eingerichtet (nach dem Devicex-ai-Standard, der sich an robots.txt anlehnt). Inhalt laut Screenshot (Anlage P-2):</w:t>
      </w:r>
    </w:p>
    <w:p>
      <w:pPr>
        <w:jc w:val="left"/>
      </w:pPr>
      <w:r>
        <w:t>```</w:t>
      </w:r>
    </w:p>
    <w:p>
      <w:pPr>
        <w:pStyle w:val="Heading1"/>
      </w:pPr>
      <w:r>
        <w:rPr>
          <w:rFonts w:ascii="Times New Roman" w:hAnsi="Times New Roman"/>
        </w:rPr>
        <w:t>ai.txt — Windgassen Photo Atelier</w:t>
      </w:r>
    </w:p>
    <w:p>
      <w:pPr>
        <w:pStyle w:val="Heading1"/>
      </w:pPr>
      <w:r>
        <w:rPr>
          <w:rFonts w:ascii="Times New Roman" w:hAnsi="Times New Roman"/>
        </w:rPr>
        <w:t>Stand: Oktober 2023</w:t>
      </w:r>
    </w:p>
    <w:p>
      <w:pPr>
        <w:jc w:val="left"/>
      </w:pPr>
      <w:r>
        <w:t>User-agent: GPTBot</w:t>
      </w:r>
    </w:p>
    <w:p>
      <w:pPr>
        <w:jc w:val="left"/>
      </w:pPr>
      <w:r>
        <w:t>Disallow: /</w:t>
      </w:r>
    </w:p>
    <w:p>
      <w:pPr>
        <w:jc w:val="left"/>
      </w:pPr>
      <w:r>
        <w:t>User-agent: CCBot</w:t>
      </w:r>
    </w:p>
    <w:p>
      <w:pPr>
        <w:jc w:val="left"/>
      </w:pPr>
      <w:r>
        <w:t>Disallow: /</w:t>
      </w:r>
    </w:p>
    <w:p>
      <w:pPr>
        <w:jc w:val="left"/>
      </w:pPr>
      <w:r>
        <w:t>User-agent: anthropic-ai</w:t>
      </w:r>
    </w:p>
    <w:p>
      <w:pPr>
        <w:jc w:val="left"/>
      </w:pPr>
      <w:r>
        <w:t>Disallow: /</w:t>
      </w:r>
    </w:p>
    <w:p>
      <w:pPr>
        <w:jc w:val="left"/>
      </w:pPr>
      <w:r>
        <w:t>User-agent: *</w:t>
      </w:r>
    </w:p>
    <w:p>
      <w:pPr>
        <w:jc w:val="left"/>
      </w:pPr>
      <w:r>
        <w:t>AI-Training: Disallow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Bewertung:</w:t>
      </w:r>
      <w:r>
        <w:t xml:space="preserve"> Diese Datei ist für den LAION-Zeitraum (2021) </w:t>
      </w:r>
      <w:r>
        <w:rPr>
          <w:b/>
        </w:rPr>
        <w:t>ohne Relevanz</w:t>
      </w:r>
      <w:r>
        <w:t>, weil sie erst 2023 eingerichtet wurde. Sie ist aber für zukünftige Abrufläufe und für eventuell laufende Fine-Tuning-Abrufläufe durch ImagineArt-Subdienstleister relevant.</w:t>
      </w:r>
    </w:p>
    <w:p/>
    <w:p>
      <w:pPr>
        <w:pStyle w:val="Heading2"/>
      </w:pPr>
      <w:r>
        <w:rPr>
          <w:rFonts w:ascii="Times New Roman" w:hAnsi="Times New Roman"/>
        </w:rPr>
        <w:t>III. Klärungsbedarf (offene Punkte)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Klärung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Genaues Abruflauf-Datum LAION-5B für windgassen-photo.de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Serverlog-Analyse; LAION-Dataset-Metadata-Abfrage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Forensik, Anlage P-1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Welche URLs wurden abgerufen? Nur </w:t>
            </w:r>
            <w:r>
              <w:rPr>
                <w:rFonts w:ascii="Times New Roman" w:hAnsi="Times New Roman"/>
                <w:sz w:val="20"/>
              </w:rPr>
              <w:t>/portfolio/</w:t>
            </w:r>
            <w:r>
              <w:rPr>
                <w:rFonts w:ascii="Times New Roman" w:hAnsi="Times New Roman"/>
                <w:sz w:val="20"/>
              </w:rPr>
              <w:t xml:space="preserve"> oder auch </w:t>
            </w:r>
            <w:r>
              <w:rPr>
                <w:rFonts w:ascii="Times New Roman" w:hAnsi="Times New Roman"/>
                <w:sz w:val="20"/>
              </w:rPr>
              <w:t>/wp-content/uploads/</w:t>
            </w:r>
            <w:r>
              <w:rPr>
                <w:rFonts w:ascii="Times New Roman" w:hAnsi="Times New Roman"/>
                <w:sz w:val="20"/>
              </w:rPr>
              <w:t>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Serverlog-Analyse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Forensik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robots.txt im Juni 2021 — welcher exakte Inhalt? Git-History / Hosting-Backup?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Anfrage an Hoster (Hetzner)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Kreidler-Bremer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ImagineArt Inc. — Welches Trainingsmodell genau? LAION-5B direkt oder Derivative?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Discovery USA / Letter of Request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Kreidler-Bremer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LAION e.V. als mögliche Mitbeklagte?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Rechtssitzprüfung (Hamburg)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Kreidler-Bremer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IV. Vorläufiges Ergebnis</w:t>
      </w:r>
    </w:p>
    <w:p>
      <w:pPr>
        <w:jc w:val="left"/>
      </w:pPr>
      <w:r>
        <w:t xml:space="preserve">Die Erfolgsaussichten einer Klage nach §§ 44b Abs. 3, 97 UrhG gegen ImagineArt Inc. sind </w:t>
      </w:r>
      <w:r>
        <w:rPr>
          <w:b/>
        </w:rPr>
        <w:t>mittel bis gut</w:t>
      </w:r>
      <w:r>
        <w:t>, sofern:</w:t>
      </w:r>
    </w:p>
    <w:p>
      <w:pPr>
        <w:pStyle w:val="ListBullet"/>
      </w:pPr>
      <w:r>
        <w:t>der LAION-Abruflauf nach dem 07.06.2021 stattfand (Datum noch zu verifizieren),</w:t>
      </w:r>
    </w:p>
    <w:p>
      <w:pPr>
        <w:pStyle w:val="ListBullet"/>
      </w:pPr>
      <w:r>
        <w:t>die robots.txt als wirksamer Vorbehalt i.S.v. § 44b Abs. 3 UrhG angesehen wird (strittig),</w:t>
      </w:r>
    </w:p>
    <w:p>
      <w:pPr>
        <w:pStyle w:val="ListBullet"/>
      </w:pPr>
      <w:r>
        <w:t>die Bildwerke Windgassens nachweislich im Trainingsdatensatz enthalten waren.</w:t>
      </w:r>
    </w:p>
    <w:p>
      <w:pPr>
        <w:jc w:val="left"/>
      </w:pPr>
      <w:r>
        <w:t>Alternativstrategie: Schadensersatzklage nach § 97 Abs. 2 UrhG wegen urheberrechtlich relevanter Vervielfältigung beim Abruflauf, unabhängig vom Opt-out-Streit.</w:t>
      </w:r>
    </w:p>
    <w:p>
      <w:pPr>
        <w:jc w:val="left"/>
      </w:pPr>
      <w:r>
        <w:t>Streitwert (vorläufig): 150.000 EUR (entsprechend dem Hamburger Streitwertkanon für Lichtbildwerke im Bereich Spezialfotografie × 18.400 Bilder — zu diskutieren; ggf. auf repräsentative Auswahl beschränken).</w:t>
      </w:r>
    </w:p>
    <w:p/>
    <w:p>
      <w:pPr>
        <w:jc w:val="left"/>
      </w:pPr>
      <w:r>
        <w:rPr>
          <w:i/>
        </w:rPr>
        <w:t>Dr. AKB, 20.01.2026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