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Schiedsstellenverfahren DPMA — Sch-Urh 32/26 — VG Bild-Kunst / KI-Training-Vergütung</w:t>
      </w:r>
    </w:p>
    <w:p>
      <w:pPr>
        <w:jc w:val="left"/>
      </w:pPr>
      <w:r>
        <w:rPr>
          <w:b/>
        </w:rPr>
        <w:t>AZ intern:</w:t>
      </w:r>
      <w:r>
        <w:t xml:space="preserve"> 26-UMR-0084 / Teilakte Schiedsstelle</w:t>
      </w:r>
    </w:p>
    <w:p>
      <w:pPr>
        <w:jc w:val="left"/>
      </w:pPr>
      <w:r>
        <w:rPr>
          <w:b/>
        </w:rPr>
        <w:t>AZ Schiedsstelle:</w:t>
      </w:r>
      <w:r>
        <w:t xml:space="preserve"> Sch-Urh 32/26</w:t>
      </w:r>
    </w:p>
    <w:p>
      <w:pPr>
        <w:jc w:val="left"/>
      </w:pPr>
      <w:r>
        <w:rPr>
          <w:b/>
        </w:rPr>
        <w:t>Datum:</w:t>
      </w:r>
      <w:r>
        <w:t xml:space="preserve"> 24.01.2026</w:t>
      </w:r>
    </w:p>
    <w:p>
      <w:pPr>
        <w:jc w:val="left"/>
      </w:pPr>
      <w:r>
        <w:rPr>
          <w:b/>
        </w:rPr>
        <w:t>Bearbeiterin:</w:t>
      </w:r>
      <w:r>
        <w:t xml:space="preserve"> Dr. Kreidler-Bremer</w:t>
      </w:r>
    </w:p>
    <w:p/>
    <w:p>
      <w:pPr>
        <w:pStyle w:val="Heading2"/>
      </w:pPr>
      <w:r>
        <w:rPr>
          <w:rFonts w:ascii="Times New Roman" w:hAnsi="Times New Roman"/>
        </w:rPr>
        <w:t>I. Hintergrund</w:t>
      </w:r>
    </w:p>
    <w:p>
      <w:pPr>
        <w:jc w:val="left"/>
      </w:pPr>
      <w:r>
        <w:t xml:space="preserve">Die </w:t>
      </w:r>
      <w:r>
        <w:rPr>
          <w:b/>
        </w:rPr>
        <w:t>VG Bild-Kunst</w:t>
      </w:r>
      <w:r>
        <w:t xml:space="preserve"> hat im Jahr 2025 mit der Erarbeitung eines neuen Tarifsystems für die Vergütung urheberrechtlich geschützter Lichtbildwerke, die im Rahmen von KI-Trainingsprozessen genutzt wurden, begonnen. Der Tarif (intern: „KI-TDM-Vergütung Lichtbild 2025") sieht eine pauschale Vergütung pro Lichtbildwerk im LAION-5B-Datensatz vor.</w:t>
      </w:r>
    </w:p>
    <w:p>
      <w:pPr>
        <w:jc w:val="left"/>
      </w:pPr>
      <w:r>
        <w:t xml:space="preserve">Streitpunkt: Die KI-Unternehmen (vertreten über den Branchenverband BITKOM) bestreiten grundsätzlich, dass eine Vergütungspflicht aus § 44b UrhG i.V.m. §§ 27 ff. VGG resultiert. Die VG Bild-Kunst hat daraufhin das </w:t>
      </w:r>
      <w:r>
        <w:rPr>
          <w:b/>
        </w:rPr>
        <w:t>Schiedsstellenverfahren nach §§ 92 ff. VGG</w:t>
      </w:r>
      <w:r>
        <w:t xml:space="preserve"> bei der DPMA-Schiedsstelle eingeleitet.</w:t>
      </w:r>
    </w:p>
    <w:p>
      <w:pPr>
        <w:jc w:val="left"/>
      </w:pPr>
      <w:r>
        <w:t>Windgassen als VG Bild-Kunst-Mitglied (Gruppe II) ist mittelbar betroffen. Dr. Kreidler-Bremer ist als Beistandsanwältin für Windgassen im Schiedsstellenverfahren eingetragen.</w:t>
      </w:r>
    </w:p>
    <w:p/>
    <w:p>
      <w:pPr>
        <w:pStyle w:val="Heading2"/>
      </w:pPr>
      <w:r>
        <w:rPr>
          <w:rFonts w:ascii="Times New Roman" w:hAnsi="Times New Roman"/>
        </w:rPr>
        <w:t>II. Rechtsrahmen Schiedsstelle DPMA</w:t>
      </w:r>
    </w:p>
    <w:p>
      <w:pPr>
        <w:pStyle w:val="Heading3"/>
      </w:pPr>
      <w:r>
        <w:rPr>
          <w:rFonts w:ascii="Times New Roman" w:hAnsi="Times New Roman"/>
        </w:rPr>
        <w:t>§§ 92 ff. VGG (Verwertungsgesellschaftengesetz)</w:t>
      </w:r>
    </w:p>
    <w:p>
      <w:pPr>
        <w:jc w:val="left"/>
      </w:pPr>
      <w:r>
        <w:t>§ 92 Abs. 1 VGG: Zur Beilegung von Streitigkeiten zwischen Verwertungsgesellschaften und Nutzern über die Höhe der zu zahlenden Vergütung oder über die Bedingungen eines abzuschließenden Vertrages ist vor der Anrufung eines ordentlichen Gerichts die Schiedsstelle anzurufen.</w:t>
      </w:r>
    </w:p>
    <w:p>
      <w:pPr>
        <w:jc w:val="left"/>
      </w:pPr>
      <w:r>
        <w:t>§ 96 VGG: Die Schiedsstelle gibt einen Einigungsvorschlag, der angenommen oder innerhalb eines Monats abgelehnt werden kann. Bei Ablehnung ist der Klageweg eröffnet.</w:t>
      </w:r>
    </w:p>
    <w:p>
      <w:pPr>
        <w:jc w:val="left"/>
      </w:pPr>
      <w:r>
        <w:rPr>
          <w:b/>
        </w:rPr>
        <w:t>Zuständigkeit Schiedsstelle:</w:t>
      </w:r>
      <w:r>
        <w:t xml:space="preserve"> DPMA (Deutsches Patent- und Markenamt), Zweibrückenstraße 12, 80331 München. Besetzung: Vorsitzender (Richteramt), beisitzende VG-Vertreter und Nutzervertreter.</w:t>
      </w:r>
    </w:p>
    <w:p/>
    <w:p>
      <w:pPr>
        <w:pStyle w:val="Heading2"/>
      </w:pPr>
      <w:r>
        <w:rPr>
          <w:rFonts w:ascii="Times New Roman" w:hAnsi="Times New Roman"/>
        </w:rPr>
        <w:t>III. Inhalt des Schiedsantrags (Zusammenfassung)</w:t>
      </w:r>
    </w:p>
    <w:p>
      <w:pPr>
        <w:jc w:val="left"/>
      </w:pPr>
      <w:r>
        <w:rPr>
          <w:b/>
        </w:rPr>
        <w:t>Antragstellerin:</w:t>
      </w:r>
      <w:r>
        <w:t xml:space="preserve"> VG Bild-Kunst, Weberstraße 61, 53113 Bonn</w:t>
      </w:r>
    </w:p>
    <w:p>
      <w:pPr>
        <w:jc w:val="left"/>
      </w:pPr>
      <w:r>
        <w:rPr>
          <w:b/>
        </w:rPr>
        <w:t>Antragsgegnerinnen:</w:t>
      </w:r>
      <w:r>
        <w:t xml:space="preserve"> [Liste KI-Unternehmen, u.a. ImagineArt Inc. als Beteiligte?] — noch zu klären</w:t>
      </w:r>
    </w:p>
    <w:p>
      <w:pPr>
        <w:jc w:val="left"/>
      </w:pPr>
      <w:r>
        <w:rPr>
          <w:b/>
        </w:rPr>
        <w:t>Streitgegenstand:</w:t>
      </w:r>
      <w:r>
        <w:t xml:space="preserve"> Feststellung einer angemessenen Vergütung für die Nutzung von Lichtbildwerken im Rahmen des TDM i.S.v. § 44b UrhG für KI-Trainingszwecke.</w:t>
      </w:r>
    </w:p>
    <w:p>
      <w:pPr>
        <w:jc w:val="left"/>
      </w:pPr>
      <w:r>
        <w:rPr>
          <w:b/>
        </w:rPr>
        <w:t>Tarif VG Bild-Kunst (Entwurf 2025):</w:t>
      </w:r>
    </w:p>
    <w:p>
      <w:pPr>
        <w:pStyle w:val="ListBullet"/>
      </w:pPr>
      <w:r>
        <w:t>Stufe 1 (bis 100.000 Bilder im Datensatz): 0,08 EUR/Bild/Jahr</w:t>
      </w:r>
    </w:p>
    <w:p>
      <w:pPr>
        <w:pStyle w:val="ListBullet"/>
      </w:pPr>
      <w:r>
        <w:t>Stufe 2 (100.001–1 Mio. Bilder): 0,05 EUR/Bild/Jahr</w:t>
      </w:r>
    </w:p>
    <w:p>
      <w:pPr>
        <w:pStyle w:val="ListBullet"/>
      </w:pPr>
      <w:r>
        <w:t>Stufe 3 (über 1 Mio. Bilder, Flatrate-Modell): Verhandlung</w:t>
      </w:r>
    </w:p>
    <w:p>
      <w:pPr>
        <w:jc w:val="left"/>
      </w:pPr>
      <w:r>
        <w:rPr>
          <w:b/>
        </w:rPr>
        <w:t>Gegenposition BITKOM/KI-Unternehmen:</w:t>
      </w:r>
    </w:p>
    <w:p>
      <w:pPr>
        <w:pStyle w:val="ListBullet"/>
      </w:pPr>
      <w:r>
        <w:t>Keine Vergütungspflicht, da Schrankenprivileg des § 44b UrhG vollständig vergütungsfrei sei</w:t>
      </w:r>
    </w:p>
    <w:p>
      <w:pPr>
        <w:pStyle w:val="ListBullet"/>
      </w:pPr>
      <w:r>
        <w:t>Subsidi: Betrag max. 0,001 EUR/Bild/Jahr (entspräche weniger als Mindestlohn für die Erstellung)</w:t>
      </w:r>
    </w:p>
    <w:p/>
    <w:p>
      <w:pPr>
        <w:pStyle w:val="Heading2"/>
      </w:pPr>
      <w:r>
        <w:rPr>
          <w:rFonts w:ascii="Times New Roman" w:hAnsi="Times New Roman"/>
        </w:rPr>
        <w:t>IV. Bedeutung für Windgassen</w:t>
      </w:r>
    </w:p>
    <w:p>
      <w:pPr>
        <w:jc w:val="left"/>
      </w:pPr>
      <w:r>
        <w:t>Windgassen hat nach eigenen Angaben ca. 16.000–18.000 Bilder auf windgassen-photo.de öffentlich zugänglich. Wenn LAION-5B tatsächlich einen erheblichen Teil dieser Bilder enthält (z.B. 3.000 Bilder):</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Szenario</w:t>
            </w:r>
          </w:p>
        </w:tc>
        <w:tc>
          <w:tcPr>
            <w:tcW w:type="dxa" w:w="3024"/>
          </w:tcPr>
          <w:p>
            <w:r>
              <w:rPr>
                <w:rFonts w:ascii="Times New Roman" w:hAnsi="Times New Roman"/>
                <w:b/>
                <w:sz w:val="20"/>
              </w:rPr>
              <w:t>Tarif VG BK</w:t>
            </w:r>
          </w:p>
        </w:tc>
        <w:tc>
          <w:tcPr>
            <w:tcW w:type="dxa" w:w="3024"/>
          </w:tcPr>
          <w:p>
            <w:r>
              <w:rPr>
                <w:rFonts w:ascii="Times New Roman" w:hAnsi="Times New Roman"/>
                <w:b/>
                <w:sz w:val="20"/>
              </w:rPr>
              <w:t>Windgassen-Anteil (geschätzt)</w:t>
            </w:r>
          </w:p>
        </w:tc>
      </w:tr>
      <w:tr>
        <w:tc>
          <w:tcPr>
            <w:tcW w:type="dxa" w:w="3024"/>
          </w:tcPr>
          <w:p>
            <w:r>
              <w:rPr>
                <w:rFonts w:ascii="Times New Roman" w:hAnsi="Times New Roman"/>
                <w:sz w:val="20"/>
              </w:rPr>
              <w:t>Tarif 0,08 EUR × 3.000 Bilder</w:t>
            </w:r>
          </w:p>
        </w:tc>
        <w:tc>
          <w:tcPr>
            <w:tcW w:type="dxa" w:w="3024"/>
          </w:tcPr>
          <w:p>
            <w:r>
              <w:rPr>
                <w:rFonts w:ascii="Times New Roman" w:hAnsi="Times New Roman"/>
                <w:sz w:val="20"/>
              </w:rPr>
              <w:t>240 EUR/Jahr</w:t>
            </w:r>
          </w:p>
        </w:tc>
        <w:tc>
          <w:tcPr>
            <w:tcW w:type="dxa" w:w="3024"/>
          </w:tcPr>
          <w:p>
            <w:r>
              <w:rPr>
                <w:rFonts w:ascii="Times New Roman" w:hAnsi="Times New Roman"/>
                <w:sz w:val="20"/>
              </w:rPr>
              <w:t>Ausschüttung nach VGG-Verteilung</w:t>
            </w:r>
          </w:p>
        </w:tc>
      </w:tr>
      <w:tr>
        <w:tc>
          <w:tcPr>
            <w:tcW w:type="dxa" w:w="3024"/>
          </w:tcPr>
          <w:p>
            <w:r>
              <w:rPr>
                <w:rFonts w:ascii="Times New Roman" w:hAnsi="Times New Roman"/>
                <w:sz w:val="20"/>
              </w:rPr>
              <w:t>Tarif 0,05 EUR × 3.000 Bilder</w:t>
            </w:r>
          </w:p>
        </w:tc>
        <w:tc>
          <w:tcPr>
            <w:tcW w:type="dxa" w:w="3024"/>
          </w:tcPr>
          <w:p>
            <w:r>
              <w:rPr>
                <w:rFonts w:ascii="Times New Roman" w:hAnsi="Times New Roman"/>
                <w:sz w:val="20"/>
              </w:rPr>
              <w:t>150 EUR/Jahr</w:t>
            </w:r>
          </w:p>
        </w:tc>
        <w:tc>
          <w:tcPr>
            <w:tcW w:type="dxa" w:w="3024"/>
          </w:tcPr>
          <w:p>
            <w:r>
              <w:rPr>
                <w:rFonts w:ascii="Times New Roman" w:hAnsi="Times New Roman"/>
                <w:sz w:val="20"/>
              </w:rPr>
              <w:t>—</w:t>
            </w:r>
          </w:p>
        </w:tc>
      </w:tr>
      <w:tr>
        <w:tc>
          <w:tcPr>
            <w:tcW w:type="dxa" w:w="3024"/>
          </w:tcPr>
          <w:p>
            <w:r>
              <w:rPr>
                <w:rFonts w:ascii="Times New Roman" w:hAnsi="Times New Roman"/>
                <w:sz w:val="20"/>
              </w:rPr>
              <w:t>BITKOM-Betrag 0,001 EUR × 3.000</w:t>
            </w:r>
          </w:p>
        </w:tc>
        <w:tc>
          <w:tcPr>
            <w:tcW w:type="dxa" w:w="3024"/>
          </w:tcPr>
          <w:p>
            <w:r>
              <w:rPr>
                <w:rFonts w:ascii="Times New Roman" w:hAnsi="Times New Roman"/>
                <w:sz w:val="20"/>
              </w:rPr>
              <w:t>3,00 EUR/Jahr</w:t>
            </w:r>
          </w:p>
        </w:tc>
        <w:tc>
          <w:tcPr>
            <w:tcW w:type="dxa" w:w="3024"/>
          </w:tcPr>
          <w:p>
            <w:r>
              <w:rPr>
                <w:rFonts w:ascii="Times New Roman" w:hAnsi="Times New Roman"/>
                <w:sz w:val="20"/>
              </w:rPr>
              <w:t>—</w:t>
            </w:r>
          </w:p>
        </w:tc>
      </w:tr>
    </w:tbl>
    <w:p>
      <w:pPr>
        <w:jc w:val="left"/>
      </w:pPr>
      <w:r>
        <w:rPr>
          <w:i/>
        </w:rPr>
        <w:t>Die individuellen Ausschüttungsbeträge sind gering — die Grundsatzfrage ist strategisch wichtig.</w:t>
      </w:r>
    </w:p>
    <w:p/>
    <w:p>
      <w:pPr>
        <w:pStyle w:val="Heading2"/>
      </w:pPr>
      <w:r>
        <w:rPr>
          <w:rFonts w:ascii="Times New Roman" w:hAnsi="Times New Roman"/>
        </w:rPr>
        <w:t>V. Nächste Schritte</w:t>
      </w:r>
    </w:p>
    <w:p>
      <w:pPr>
        <w:pStyle w:val="ListBullet"/>
      </w:pPr>
      <w:r>
        <w:t xml:space="preserve">Schiedsstellenverfahren beobachten; nächste Verhandlung: DPMA hat Termin auf </w:t>
      </w:r>
      <w:r>
        <w:rPr>
          <w:b/>
        </w:rPr>
        <w:t>17.03.2026</w:t>
      </w:r>
      <w:r>
        <w:t xml:space="preserve"> angesetzt (Einladung liegt vor, vgl. E-Mail-Anlage)</w:t>
      </w:r>
    </w:p>
    <w:p>
      <w:pPr>
        <w:pStyle w:val="ListBullet"/>
      </w:pPr>
      <w:r>
        <w:t>Windgassen-Teilnahme am Schiedsverfahren als Beteiligte prüfen (§ 94 VGG: Dritte können beitreten, wenn erheblich betroffen)</w:t>
      </w:r>
    </w:p>
    <w:p>
      <w:pPr>
        <w:pStyle w:val="ListBullet"/>
      </w:pPr>
      <w:r>
        <w:t>Koordination mit VG Bild-Kunst-Justitiariat (Ansprechpartner dort: Dr. Lars-Erik Wissmann)</w:t>
      </w:r>
    </w:p>
    <w:p/>
    <w:p>
      <w:pPr>
        <w:jc w:val="left"/>
      </w:pPr>
      <w:r>
        <w:rPr>
          <w:i/>
        </w:rPr>
        <w:t>Dr. AKB, 24.01.2026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