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Schadensberechnung: KI-Training-Schaden nach Lizenzanalogie — § 97 Abs. 2 UrhG</w:t>
      </w:r>
    </w:p>
    <w:p>
      <w:pPr>
        <w:jc w:val="left"/>
      </w:pPr>
      <w:r>
        <w:rPr>
          <w:b/>
        </w:rPr>
        <w:t>AZ intern:</w:t>
      </w:r>
      <w:r>
        <w:t xml:space="preserve"> 26-UMR-0084 / Teilakte ImagineArt</w:t>
      </w:r>
    </w:p>
    <w:p>
      <w:pPr>
        <w:jc w:val="left"/>
      </w:pPr>
      <w:r>
        <w:rPr>
          <w:b/>
        </w:rPr>
        <w:t>Datum:</w:t>
      </w:r>
      <w:r>
        <w:t xml:space="preserve"> 24.01.2026</w:t>
      </w:r>
    </w:p>
    <w:p>
      <w:pPr>
        <w:jc w:val="left"/>
      </w:pPr>
      <w:r>
        <w:rPr>
          <w:b/>
        </w:rPr>
        <w:t>Bearbeiterin:</w:t>
      </w:r>
      <w:r>
        <w:t xml:space="preserve"> Dr. Kreidler-Bremer</w:t>
      </w:r>
    </w:p>
    <w:p>
      <w:pPr>
        <w:jc w:val="left"/>
      </w:pPr>
      <w:r>
        <w:rPr>
          <w:b/>
        </w:rPr>
        <w:t>Hinweis:</w:t>
      </w:r>
      <w:r>
        <w:t xml:space="preserve"> Detaillierte Berechnungstabelle als XLSX-Anlage: </w:t>
      </w:r>
      <w:r>
        <w:t>xlsx/schadensberechnung_ki_training_lizenzanalogie.xlsx</w:t>
      </w:r>
    </w:p>
    <w:p/>
    <w:p>
      <w:pPr>
        <w:pStyle w:val="Heading2"/>
      </w:pPr>
      <w:r>
        <w:rPr>
          <w:rFonts w:ascii="Times New Roman" w:hAnsi="Times New Roman"/>
        </w:rPr>
        <w:t>I. Anspruchsgrundlage</w:t>
      </w:r>
    </w:p>
    <w:p>
      <w:pPr>
        <w:jc w:val="left"/>
      </w:pPr>
      <w:r>
        <w:t>§ 97 Abs. 2 UrhG: Wer die Handlung vorsätzlich oder fahrlässig vornimmt, ist dem Verletzten zum Ersatz des daraus entstehenden Schadens verpflichtet. Bei der Bemessung des Schadensersatzes kann auch der Gewinn, den der Verletzer durch die Verletzung des Rechts erzielt hat, berücksichtigt werden. Der Schadensersatzanspruch kann auch auf der Grundlage des Betrages berechnet werden, den der Verletzer als angemessene Vergütung hätte entrichten müssen, wenn er die Erlaubnis zur Nutzung des verletzten Rechts eingeholt hätte (Lizenzanalogie).</w:t>
      </w:r>
    </w:p>
    <w:p/>
    <w:p>
      <w:pPr>
        <w:pStyle w:val="Heading2"/>
      </w:pPr>
      <w:r>
        <w:rPr>
          <w:rFonts w:ascii="Times New Roman" w:hAnsi="Times New Roman"/>
        </w:rPr>
        <w:t>II. Lizenzanalogie: Berechnungsansatz</w:t>
      </w:r>
    </w:p>
    <w:p>
      <w:pPr>
        <w:pStyle w:val="Heading3"/>
      </w:pPr>
      <w:r>
        <w:rPr>
          <w:rFonts w:ascii="Times New Roman" w:hAnsi="Times New Roman"/>
        </w:rPr>
        <w:t>Methodik</w:t>
      </w:r>
    </w:p>
    <w:p>
      <w:pPr>
        <w:jc w:val="left"/>
      </w:pPr>
      <w:r>
        <w:t>Der Schaden wird berechnet als die Lizenz, die Windgassen für die Verwendung ihrer Bilder zum KI-Training mutmaßlich gefordert hätte (hypothetischer Lizenzvertrag). Als Vergleichsbasis dienen:</w:t>
      </w:r>
    </w:p>
    <w:p>
      <w:pPr>
        <w:pStyle w:val="ListNumber"/>
      </w:pPr>
      <w:r>
        <w:rPr>
          <w:b/>
        </w:rPr>
        <w:t>VG Bild-Kunst Tarif-Entwurf 2025:</w:t>
      </w:r>
      <w:r>
        <w:t xml:space="preserve"> 0,08 EUR/Bild/Jahr (Stufe 1)</w:t>
      </w:r>
    </w:p>
    <w:p>
      <w:pPr>
        <w:pStyle w:val="ListNumber"/>
      </w:pPr>
      <w:r>
        <w:rPr>
          <w:b/>
        </w:rPr>
        <w:t>Getty Images KI-Lizenz (Vergleichsangebot 2024):</w:t>
      </w:r>
      <w:r>
        <w:t xml:space="preserve"> USD 0,15 pro Bild bei Einzellizenz für KI-Training; USD 0,04–0,12 bei Volumen-Paketen</w:t>
      </w:r>
    </w:p>
    <w:p>
      <w:pPr>
        <w:pStyle w:val="ListNumber"/>
      </w:pPr>
      <w:r>
        <w:rPr>
          <w:b/>
        </w:rPr>
        <w:t>Shutterstock KI-Trainingspartnerschaft:</w:t>
      </w:r>
      <w:r>
        <w:t xml:space="preserve"> USD 0,03–0,08 pro Bild, einmalig</w:t>
      </w:r>
    </w:p>
    <w:p>
      <w:pPr>
        <w:pStyle w:val="ListNumber"/>
      </w:pPr>
      <w:r>
        <w:rPr>
          <w:b/>
        </w:rPr>
        <w:t>Individuelle Fotografen-Lizenzpraxis BFF:</w:t>
      </w:r>
      <w:r>
        <w:t xml:space="preserve"> Empfehlung 0,12–0,25 EUR/Bild für einmalige KI-Trainingsnutzung</w:t>
      </w:r>
    </w:p>
    <w:p>
      <w:pPr>
        <w:pStyle w:val="Heading3"/>
      </w:pPr>
      <w:r>
        <w:rPr>
          <w:rFonts w:ascii="Times New Roman" w:hAnsi="Times New Roman"/>
        </w:rPr>
        <w:t>Anzahl betroffener Bilder</w:t>
      </w:r>
    </w:p>
    <w:p>
      <w:pPr>
        <w:jc w:val="left"/>
      </w:pPr>
      <w:r>
        <w:t>Nach Serverlog-Analyse (vgl. Aktenstück 04):</w:t>
      </w:r>
    </w:p>
    <w:p>
      <w:pPr>
        <w:pStyle w:val="ListBullet"/>
      </w:pPr>
      <w:r>
        <w:t xml:space="preserve">Sicher nachweisbar im LAION-Abruflauf: </w:t>
      </w:r>
      <w:r>
        <w:rPr>
          <w:b/>
        </w:rPr>
        <w:t>161 Bilder</w:t>
      </w:r>
      <w:r>
        <w:t xml:space="preserve"> (Juni + August 2021)</w:t>
      </w:r>
    </w:p>
    <w:p>
      <w:pPr>
        <w:pStyle w:val="ListBullet"/>
      </w:pPr>
      <w:r>
        <w:t>Weitere Abruflauf-Durchgänge 2021: noch zu prüfen, Schätzung max. 400 Bilder</w:t>
      </w:r>
    </w:p>
    <w:p>
      <w:pPr>
        <w:pStyle w:val="ListBullet"/>
      </w:pPr>
      <w:r>
        <w:t xml:space="preserve">Gesamtschätzung für Klage (konservativ): </w:t>
      </w:r>
      <w:r>
        <w:rPr>
          <w:b/>
        </w:rPr>
        <w:t>200 Bilder</w:t>
      </w:r>
    </w:p>
    <w:p>
      <w:pPr>
        <w:pStyle w:val="Heading3"/>
      </w:pPr>
      <w:r>
        <w:rPr>
          <w:rFonts w:ascii="Times New Roman" w:hAnsi="Times New Roman"/>
        </w:rPr>
        <w:t>Berechnungsansätze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Ansatz</w:t>
            </w:r>
          </w:p>
        </w:tc>
        <w:tc>
          <w:tcPr>
            <w:tcW w:type="dxa" w:w="1512"/>
          </w:tcPr>
          <w:p>
            <w:r>
              <w:rPr>
                <w:rFonts w:ascii="Times New Roman" w:hAnsi="Times New Roman"/>
                <w:b/>
                <w:sz w:val="20"/>
              </w:rPr>
              <w:t>Tarif (EUR/Bild)</w:t>
            </w:r>
          </w:p>
        </w:tc>
        <w:tc>
          <w:tcPr>
            <w:tcW w:type="dxa" w:w="1512"/>
          </w:tcPr>
          <w:p>
            <w:r>
              <w:rPr>
                <w:rFonts w:ascii="Times New Roman" w:hAnsi="Times New Roman"/>
                <w:b/>
                <w:sz w:val="20"/>
              </w:rPr>
              <w:t>Anzahl Bilder</w:t>
            </w:r>
          </w:p>
        </w:tc>
        <w:tc>
          <w:tcPr>
            <w:tcW w:type="dxa" w:w="1512"/>
          </w:tcPr>
          <w:p>
            <w:r>
              <w:rPr>
                <w:rFonts w:ascii="Times New Roman" w:hAnsi="Times New Roman"/>
                <w:b/>
                <w:sz w:val="20"/>
              </w:rPr>
              <w:t>Jahresbetrag</w:t>
            </w:r>
          </w:p>
        </w:tc>
        <w:tc>
          <w:tcPr>
            <w:tcW w:type="dxa" w:w="1512"/>
          </w:tcPr>
          <w:p>
            <w:r>
              <w:rPr>
                <w:rFonts w:ascii="Times New Roman" w:hAnsi="Times New Roman"/>
                <w:b/>
                <w:sz w:val="20"/>
              </w:rPr>
              <w:t>Nutzungszeitraum (2021–2026)</w:t>
            </w:r>
          </w:p>
        </w:tc>
        <w:tc>
          <w:tcPr>
            <w:tcW w:type="dxa" w:w="1512"/>
          </w:tcPr>
          <w:p>
            <w:r>
              <w:rPr>
                <w:rFonts w:ascii="Times New Roman" w:hAnsi="Times New Roman"/>
                <w:b/>
                <w:sz w:val="20"/>
              </w:rPr>
              <w:t>Gesamtschaden</w:t>
            </w:r>
          </w:p>
        </w:tc>
      </w:tr>
      <w:tr>
        <w:tc>
          <w:tcPr>
            <w:tcW w:type="dxa" w:w="1512"/>
          </w:tcPr>
          <w:p>
            <w:r>
              <w:rPr>
                <w:rFonts w:ascii="Times New Roman" w:hAnsi="Times New Roman"/>
                <w:sz w:val="20"/>
              </w:rPr>
              <w:t>VG Bild-Kunst Entwurf (0,08)</w:t>
            </w:r>
          </w:p>
        </w:tc>
        <w:tc>
          <w:tcPr>
            <w:tcW w:type="dxa" w:w="1512"/>
          </w:tcPr>
          <w:p>
            <w:r>
              <w:rPr>
                <w:rFonts w:ascii="Times New Roman" w:hAnsi="Times New Roman"/>
                <w:sz w:val="20"/>
              </w:rPr>
              <w:t>0,08</w:t>
            </w:r>
          </w:p>
        </w:tc>
        <w:tc>
          <w:tcPr>
            <w:tcW w:type="dxa" w:w="1512"/>
          </w:tcPr>
          <w:p>
            <w:r>
              <w:rPr>
                <w:rFonts w:ascii="Times New Roman" w:hAnsi="Times New Roman"/>
                <w:sz w:val="20"/>
              </w:rPr>
              <w:t>200</w:t>
            </w:r>
          </w:p>
        </w:tc>
        <w:tc>
          <w:tcPr>
            <w:tcW w:type="dxa" w:w="1512"/>
          </w:tcPr>
          <w:p>
            <w:r>
              <w:rPr>
                <w:rFonts w:ascii="Times New Roman" w:hAnsi="Times New Roman"/>
                <w:sz w:val="20"/>
              </w:rPr>
              <w:t>16,00</w:t>
            </w:r>
          </w:p>
        </w:tc>
        <w:tc>
          <w:tcPr>
            <w:tcW w:type="dxa" w:w="1512"/>
          </w:tcPr>
          <w:p>
            <w:r>
              <w:rPr>
                <w:rFonts w:ascii="Times New Roman" w:hAnsi="Times New Roman"/>
                <w:sz w:val="20"/>
              </w:rPr>
              <w:t>5 Jahre</w:t>
            </w:r>
          </w:p>
        </w:tc>
        <w:tc>
          <w:tcPr>
            <w:tcW w:type="dxa" w:w="1512"/>
          </w:tcPr>
          <w:p>
            <w:r>
              <w:rPr>
                <w:rFonts w:ascii="Times New Roman" w:hAnsi="Times New Roman"/>
                <w:b/>
                <w:sz w:val="20"/>
              </w:rPr>
              <w:t>80 EUR</w:t>
            </w:r>
          </w:p>
        </w:tc>
      </w:tr>
      <w:tr>
        <w:tc>
          <w:tcPr>
            <w:tcW w:type="dxa" w:w="1512"/>
          </w:tcPr>
          <w:p>
            <w:r>
              <w:rPr>
                <w:rFonts w:ascii="Times New Roman" w:hAnsi="Times New Roman"/>
                <w:sz w:val="20"/>
              </w:rPr>
              <w:t>Getty-Images-Orientierung (0,12)</w:t>
            </w:r>
          </w:p>
        </w:tc>
        <w:tc>
          <w:tcPr>
            <w:tcW w:type="dxa" w:w="1512"/>
          </w:tcPr>
          <w:p>
            <w:r>
              <w:rPr>
                <w:rFonts w:ascii="Times New Roman" w:hAnsi="Times New Roman"/>
                <w:sz w:val="20"/>
              </w:rPr>
              <w:t>0,12</w:t>
            </w:r>
          </w:p>
        </w:tc>
        <w:tc>
          <w:tcPr>
            <w:tcW w:type="dxa" w:w="1512"/>
          </w:tcPr>
          <w:p>
            <w:r>
              <w:rPr>
                <w:rFonts w:ascii="Times New Roman" w:hAnsi="Times New Roman"/>
                <w:sz w:val="20"/>
              </w:rPr>
              <w:t>200</w:t>
            </w:r>
          </w:p>
        </w:tc>
        <w:tc>
          <w:tcPr>
            <w:tcW w:type="dxa" w:w="1512"/>
          </w:tcPr>
          <w:p>
            <w:r>
              <w:rPr>
                <w:rFonts w:ascii="Times New Roman" w:hAnsi="Times New Roman"/>
                <w:sz w:val="20"/>
              </w:rPr>
              <w:t>—</w:t>
            </w:r>
          </w:p>
        </w:tc>
        <w:tc>
          <w:tcPr>
            <w:tcW w:type="dxa" w:w="1512"/>
          </w:tcPr>
          <w:p>
            <w:r>
              <w:rPr>
                <w:rFonts w:ascii="Times New Roman" w:hAnsi="Times New Roman"/>
                <w:sz w:val="20"/>
              </w:rPr>
              <w:t>einmalig</w:t>
            </w:r>
          </w:p>
        </w:tc>
        <w:tc>
          <w:tcPr>
            <w:tcW w:type="dxa" w:w="1512"/>
          </w:tcPr>
          <w:p>
            <w:r>
              <w:rPr>
                <w:rFonts w:ascii="Times New Roman" w:hAnsi="Times New Roman"/>
                <w:b/>
                <w:sz w:val="20"/>
              </w:rPr>
              <w:t>24 EUR</w:t>
            </w:r>
          </w:p>
        </w:tc>
      </w:tr>
      <w:tr>
        <w:tc>
          <w:tcPr>
            <w:tcW w:type="dxa" w:w="1512"/>
          </w:tcPr>
          <w:p>
            <w:r>
              <w:rPr>
                <w:rFonts w:ascii="Times New Roman" w:hAnsi="Times New Roman"/>
                <w:sz w:val="20"/>
              </w:rPr>
              <w:t>Individuelle Lizenzpraxis BFF (0,20)</w:t>
            </w:r>
          </w:p>
        </w:tc>
        <w:tc>
          <w:tcPr>
            <w:tcW w:type="dxa" w:w="1512"/>
          </w:tcPr>
          <w:p>
            <w:r>
              <w:rPr>
                <w:rFonts w:ascii="Times New Roman" w:hAnsi="Times New Roman"/>
                <w:sz w:val="20"/>
              </w:rPr>
              <w:t>0,20</w:t>
            </w:r>
          </w:p>
        </w:tc>
        <w:tc>
          <w:tcPr>
            <w:tcW w:type="dxa" w:w="1512"/>
          </w:tcPr>
          <w:p>
            <w:r>
              <w:rPr>
                <w:rFonts w:ascii="Times New Roman" w:hAnsi="Times New Roman"/>
                <w:sz w:val="20"/>
              </w:rPr>
              <w:t>200</w:t>
            </w:r>
          </w:p>
        </w:tc>
        <w:tc>
          <w:tcPr>
            <w:tcW w:type="dxa" w:w="1512"/>
          </w:tcPr>
          <w:p>
            <w:r>
              <w:rPr>
                <w:rFonts w:ascii="Times New Roman" w:hAnsi="Times New Roman"/>
                <w:sz w:val="20"/>
              </w:rPr>
              <w:t>—</w:t>
            </w:r>
          </w:p>
        </w:tc>
        <w:tc>
          <w:tcPr>
            <w:tcW w:type="dxa" w:w="1512"/>
          </w:tcPr>
          <w:p>
            <w:r>
              <w:rPr>
                <w:rFonts w:ascii="Times New Roman" w:hAnsi="Times New Roman"/>
                <w:sz w:val="20"/>
              </w:rPr>
              <w:t>einmalig</w:t>
            </w:r>
          </w:p>
        </w:tc>
        <w:tc>
          <w:tcPr>
            <w:tcW w:type="dxa" w:w="1512"/>
          </w:tcPr>
          <w:p>
            <w:r>
              <w:rPr>
                <w:rFonts w:ascii="Times New Roman" w:hAnsi="Times New Roman"/>
                <w:b/>
                <w:sz w:val="20"/>
              </w:rPr>
              <w:t>40 EUR</w:t>
            </w:r>
          </w:p>
        </w:tc>
      </w:tr>
      <w:tr>
        <w:tc>
          <w:tcPr>
            <w:tcW w:type="dxa" w:w="1512"/>
          </w:tcPr>
          <w:p>
            <w:r>
              <w:rPr>
                <w:rFonts w:ascii="Times New Roman" w:hAnsi="Times New Roman"/>
                <w:sz w:val="20"/>
              </w:rPr>
              <w:t>Hochwertige Editorial-Bilder + Rufwert (× 3)</w:t>
            </w:r>
          </w:p>
        </w:tc>
        <w:tc>
          <w:tcPr>
            <w:tcW w:type="dxa" w:w="1512"/>
          </w:tcPr>
          <w:p>
            <w:r>
              <w:rPr>
                <w:rFonts w:ascii="Times New Roman" w:hAnsi="Times New Roman"/>
                <w:sz w:val="20"/>
              </w:rPr>
              <w:t>0,60</w:t>
            </w:r>
          </w:p>
        </w:tc>
        <w:tc>
          <w:tcPr>
            <w:tcW w:type="dxa" w:w="1512"/>
          </w:tcPr>
          <w:p>
            <w:r>
              <w:rPr>
                <w:rFonts w:ascii="Times New Roman" w:hAnsi="Times New Roman"/>
                <w:sz w:val="20"/>
              </w:rPr>
              <w:t>200</w:t>
            </w:r>
          </w:p>
        </w:tc>
        <w:tc>
          <w:tcPr>
            <w:tcW w:type="dxa" w:w="1512"/>
          </w:tcPr>
          <w:p>
            <w:r>
              <w:rPr>
                <w:rFonts w:ascii="Times New Roman" w:hAnsi="Times New Roman"/>
                <w:sz w:val="20"/>
              </w:rPr>
              <w:t>—</w:t>
            </w:r>
          </w:p>
        </w:tc>
        <w:tc>
          <w:tcPr>
            <w:tcW w:type="dxa" w:w="1512"/>
          </w:tcPr>
          <w:p>
            <w:r>
              <w:rPr>
                <w:rFonts w:ascii="Times New Roman" w:hAnsi="Times New Roman"/>
                <w:sz w:val="20"/>
              </w:rPr>
              <w:t>einmalig</w:t>
            </w:r>
          </w:p>
        </w:tc>
        <w:tc>
          <w:tcPr>
            <w:tcW w:type="dxa" w:w="1512"/>
          </w:tcPr>
          <w:p>
            <w:r>
              <w:rPr>
                <w:rFonts w:ascii="Times New Roman" w:hAnsi="Times New Roman"/>
                <w:b/>
                <w:sz w:val="20"/>
              </w:rPr>
              <w:t>120 EUR</w:t>
            </w:r>
          </w:p>
        </w:tc>
      </w:tr>
    </w:tbl>
    <w:p>
      <w:pPr>
        <w:jc w:val="left"/>
      </w:pPr>
      <w:r>
        <w:rPr>
          <w:b/>
        </w:rPr>
        <w:t>Das zentrale Problem:</w:t>
      </w:r>
      <w:r>
        <w:t xml:space="preserve"> Die reine Lizenzanalogie ergibt bei diesen Tarifen sehr geringe Beträge — nicht klagegeeignet.</w:t>
      </w:r>
    </w:p>
    <w:p/>
    <w:p>
      <w:pPr>
        <w:pStyle w:val="Heading2"/>
      </w:pPr>
      <w:r>
        <w:rPr>
          <w:rFonts w:ascii="Times New Roman" w:hAnsi="Times New Roman"/>
        </w:rPr>
        <w:t>III. Ergänzende Schadensposten</w:t>
      </w:r>
    </w:p>
    <w:p>
      <w:pPr>
        <w:pStyle w:val="Heading3"/>
      </w:pPr>
      <w:r>
        <w:rPr>
          <w:rFonts w:ascii="Times New Roman" w:hAnsi="Times New Roman"/>
        </w:rPr>
        <w:t>1. Stilmimikry und Rufschaden</w:t>
      </w:r>
    </w:p>
    <w:p>
      <w:pPr>
        <w:jc w:val="left"/>
      </w:pPr>
      <w:r>
        <w:t>Windgassens individueller Bildstil wird durch ImagineArt Pro repliziert. Dadurch entsteht:</w:t>
      </w:r>
    </w:p>
    <w:p>
      <w:pPr>
        <w:pStyle w:val="ListBullet"/>
      </w:pPr>
      <w:r>
        <w:t>Entwertung ihrer einzigartigen ästhetischen Marke (messbar durch Preisverfall bei Lizenznachfragen)</w:t>
      </w:r>
    </w:p>
    <w:p>
      <w:pPr>
        <w:pStyle w:val="ListBullet"/>
      </w:pPr>
      <w:r>
        <w:t>Verwechslungsgefahr (Kunden könnten KI-Bilder für Windgassen-Bilder halten)</w:t>
      </w:r>
    </w:p>
    <w:p>
      <w:pPr>
        <w:pStyle w:val="ListBullet"/>
      </w:pPr>
      <w:r>
        <w:t>Konkurrenzschaden: ImagineArt-Nutzer können Fotos im Windgassen-Stil kostenlos erzeugen, anstatt Lizenzen zu kaufen</w:t>
      </w:r>
    </w:p>
    <w:p>
      <w:pPr>
        <w:jc w:val="left"/>
      </w:pPr>
      <w:r>
        <w:rPr>
          <w:b/>
        </w:rPr>
        <w:t>Ansatz:</w:t>
      </w:r>
      <w:r>
        <w:t xml:space="preserve"> Entgangener Gewinn aus Lizenzgeschäft 2026 durch KI-Konkurrenz (§ 97 Abs. 2 S. 2 UrhG: Verletzergewinn). ImagineArt Pro hat nach öffentlich verfügbarer Information ca. 800.000 zahlende Nutzer (Stand: Pressemitteilung Nov. 2025, USD 9,99/Monat).</w:t>
      </w:r>
    </w:p>
    <w:p>
      <w:pPr>
        <w:pStyle w:val="Heading3"/>
      </w:pPr>
      <w:r>
        <w:rPr>
          <w:rFonts w:ascii="Times New Roman" w:hAnsi="Times New Roman"/>
        </w:rPr>
        <w:t>2. Streitwertfixierung für Klage</w:t>
      </w:r>
    </w:p>
    <w:p>
      <w:pPr>
        <w:jc w:val="left"/>
      </w:pPr>
      <w:r>
        <w:t>Für den Streitwert des LG-Verfahrens wird vorgeschlagen:</w:t>
      </w:r>
    </w:p>
    <w:p>
      <w:pPr>
        <w:pStyle w:val="ListBullet"/>
      </w:pPr>
      <w:r>
        <w:rPr>
          <w:b/>
        </w:rPr>
        <w:t>Hauptantrag Unterlassung:</w:t>
      </w:r>
      <w:r>
        <w:t xml:space="preserve"> Streitwert 120.000 EUR (Hamburger Praxis, Lichtbildwerke)</w:t>
      </w:r>
    </w:p>
    <w:p>
      <w:pPr>
        <w:pStyle w:val="ListBullet"/>
      </w:pPr>
      <w:r>
        <w:rPr>
          <w:b/>
        </w:rPr>
        <w:t>Feststellungsantrag Schadensersatz:</w:t>
      </w:r>
      <w:r>
        <w:t xml:space="preserve"> Streitwert 30.000 EUR (Orientierung: 1% des ImagineArt-Jahresumsatzes)</w:t>
      </w:r>
    </w:p>
    <w:p>
      <w:pPr>
        <w:pStyle w:val="ListBullet"/>
      </w:pPr>
      <w:r>
        <w:rPr>
          <w:b/>
        </w:rPr>
        <w:t>Gesamtstreitwert:</w:t>
      </w:r>
      <w:r>
        <w:t xml:space="preserve"> 150.000 EUR</w:t>
      </w:r>
    </w:p>
    <w:p/>
    <w:p>
      <w:pPr>
        <w:pStyle w:val="Heading2"/>
      </w:pPr>
      <w:r>
        <w:rPr>
          <w:rFonts w:ascii="Times New Roman" w:hAnsi="Times New Roman"/>
        </w:rPr>
        <w:t>IV. Strategische Einschätzung</w:t>
      </w:r>
    </w:p>
    <w:p>
      <w:pPr>
        <w:jc w:val="left"/>
      </w:pPr>
      <w:r>
        <w:t>Die Lizenzanalogie allein ist wirtschaftlich unattraktiv. Die Klage ist strategisch und präzedenzfallbezogen motiviert:</w:t>
      </w:r>
    </w:p>
    <w:p>
      <w:pPr>
        <w:pStyle w:val="ListBullet"/>
      </w:pPr>
      <w:r>
        <w:t>Grundsatzentscheidung § 44b Abs. 3 UrhG (robots.txt als wirksamer Vorbehalt)</w:t>
      </w:r>
    </w:p>
    <w:p>
      <w:pPr>
        <w:pStyle w:val="ListBullet"/>
      </w:pPr>
      <w:r>
        <w:t>Stilmimikry als Verletzungshandlung (international noch kaum entschieden)</w:t>
      </w:r>
    </w:p>
    <w:p>
      <w:pPr>
        <w:pStyle w:val="ListBullet"/>
      </w:pPr>
      <w:r>
        <w:t>Aufmerksamkeitswert für VG Bild-Kunst-Schiedsverfahren</w:t>
      </w:r>
    </w:p>
    <w:p/>
    <w:p>
      <w:pPr>
        <w:jc w:val="left"/>
      </w:pPr>
      <w:r>
        <w:rPr>
          <w:i/>
        </w:rPr>
        <w:t>Detaillierte Berechnung: siehe `xlsx/schadensberechnung_ki_training_lizenzanalogie.xlsx`</w:t>
      </w:r>
    </w:p>
    <w:p>
      <w:pPr>
        <w:jc w:val="left"/>
      </w:pPr>
      <w:r>
        <w:rPr>
          <w:i/>
        </w:rPr>
        <w:t>Dr. AKB, 24.01.2026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