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Klagestrategie und Prozessplanung — LG Hamburg 308 O 79/26 — Windgassen ./. ImagineArt Inc.</w:t>
      </w:r>
    </w:p>
    <w:p>
      <w:pPr>
        <w:jc w:val="left"/>
      </w:pPr>
      <w:r>
        <w:rPr>
          <w:b/>
        </w:rPr>
        <w:t>AZ intern:</w:t>
      </w:r>
      <w:r>
        <w:t xml:space="preserve"> 26-UMR-0084 / Teilakte ImagineArt-Klage</w:t>
      </w:r>
    </w:p>
    <w:p>
      <w:pPr>
        <w:jc w:val="left"/>
      </w:pPr>
      <w:r>
        <w:rPr>
          <w:b/>
        </w:rPr>
        <w:t>AZ LG Hamburg:</w:t>
      </w:r>
      <w:r>
        <w:t xml:space="preserve"> 308 O 79/26</w:t>
      </w:r>
    </w:p>
    <w:p>
      <w:pPr>
        <w:jc w:val="left"/>
      </w:pPr>
      <w:r>
        <w:rPr>
          <w:b/>
        </w:rPr>
        <w:t>Datum:</w:t>
      </w:r>
      <w:r>
        <w:t xml:space="preserve"> 25.01.2026</w:t>
      </w:r>
    </w:p>
    <w:p>
      <w:pPr>
        <w:jc w:val="left"/>
      </w:pPr>
      <w:r>
        <w:rPr>
          <w:b/>
        </w:rPr>
        <w:t>Bearbeiterin:</w:t>
      </w:r>
      <w:r>
        <w:t xml:space="preserve"> Dr. Kreidler-Bremer</w:t>
      </w:r>
    </w:p>
    <w:p/>
    <w:p>
      <w:pPr>
        <w:pStyle w:val="Heading2"/>
      </w:pPr>
      <w:r>
        <w:rPr>
          <w:rFonts w:ascii="Times New Roman" w:hAnsi="Times New Roman"/>
        </w:rPr>
        <w:t>I. Zuständigkeit</w:t>
      </w:r>
    </w:p>
    <w:p>
      <w:pPr>
        <w:jc w:val="left"/>
      </w:pPr>
      <w:r>
        <w:t xml:space="preserve">Das LG Hamburg ist seit dem </w:t>
      </w:r>
      <w:r>
        <w:rPr>
          <w:b/>
        </w:rPr>
        <w:t>01.01.2025</w:t>
      </w:r>
      <w:r>
        <w:t xml:space="preserve"> über die bundesweite Konzentration nach § 105 UrhG i.V.m. der Hamburger Konzentrations-VO zuständig für Urheberrechtssachen mit Streitwert ab 100.000 EUR. Die KI-Kammer wurde am Landgericht Hamburg im Jahr 2025 als Spezialspruchkörper eingerichtet (Vorsitz: VRiLG Dr. Imke Strauß).</w:t>
      </w:r>
    </w:p>
    <w:p>
      <w:pPr>
        <w:jc w:val="left"/>
      </w:pPr>
      <w:r>
        <w:rPr>
          <w:b/>
        </w:rPr>
        <w:t>Internationale Zuständigkeit:</w:t>
      </w:r>
      <w:r>
        <w:t xml:space="preserve"> ImagineArt Inc. hat keinen Sitz in Deutschland, aber der Dienst ist in Deutschland abrufbar und richtet sich an deutsche Nutzer (Art. 7 Nr. 2 Brüssel Ia-VO: Tatortgerichtsstand; Deliktsort Hamburg, da Windgassen dort lebt und der Schaden dort eingetreten ist).</w:t>
      </w:r>
    </w:p>
    <w:p>
      <w:pPr>
        <w:jc w:val="left"/>
      </w:pPr>
      <w:r>
        <w:rPr>
          <w:b/>
        </w:rPr>
        <w:t>Recht:</w:t>
      </w:r>
      <w:r>
        <w:t xml:space="preserve"> Anknüpfung Art. 8 Rom II-VO: Schutzlandprinzip → deutsches UrhG anwendbar.</w:t>
      </w:r>
    </w:p>
    <w:p/>
    <w:p>
      <w:pPr>
        <w:pStyle w:val="Heading2"/>
      </w:pPr>
      <w:r>
        <w:rPr>
          <w:rFonts w:ascii="Times New Roman" w:hAnsi="Times New Roman"/>
        </w:rPr>
        <w:t>II. Klageantrag (Entwurf)</w:t>
      </w:r>
    </w:p>
    <w:p>
      <w:pPr>
        <w:pStyle w:val="Heading3"/>
      </w:pPr>
      <w:r>
        <w:rPr>
          <w:rFonts w:ascii="Times New Roman" w:hAnsi="Times New Roman"/>
        </w:rPr>
        <w:t>Haupt-Anträge</w:t>
      </w:r>
    </w:p>
    <w:p>
      <w:pPr>
        <w:pStyle w:val="ListNumber"/>
      </w:pPr>
      <w:r>
        <w:rPr>
          <w:b/>
        </w:rPr>
        <w:t>Unterlassung:</w:t>
      </w:r>
      <w:r>
        <w:t xml:space="preserve"> ImagineArt Inc. wird verurteilt, es zu unterlassen, die Lichtbildwerke der Klägerin (Anlage K-1, Liste von 161 nachgewiesenen Bildwerken) für das Training, Feintraining oder sonstige Optimierung ihrer KI-Bildgeneratoren zu verwenden oder verwenden zu lassen, ohne die nach § 44b Abs. 3 UrhG erforderliche Genehmigung der Klägerin eingeholt zu haben — bei Meidung eines für jeden Fall der Zuwiderhandlung zu verhängenden Ordnungsgeldes bis zu 250.000 EUR oder Ordnungshaft.</w:t>
      </w:r>
    </w:p>
    <w:p>
      <w:pPr>
        <w:pStyle w:val="ListNumber"/>
      </w:pPr>
      <w:r>
        <w:rPr>
          <w:b/>
        </w:rPr>
        <w:t>Feststellung Schadensersatz:</w:t>
      </w:r>
      <w:r>
        <w:t xml:space="preserve"> Es wird festgestellt, dass die Beklagte verpflichtet ist, der Klägerin sämtlichen Schaden zu ersetzen, der durch die unberechtigte Nutzung der Lichtbildwerke der Klägerin für KI-Trainingszwecke entstanden ist und noch entstehen wird.</w:t>
      </w:r>
    </w:p>
    <w:p>
      <w:pPr>
        <w:pStyle w:val="ListNumber"/>
      </w:pPr>
      <w:r>
        <w:rPr>
          <w:b/>
        </w:rPr>
        <w:t>Auskunft:</w:t>
      </w:r>
      <w:r>
        <w:t xml:space="preserve"> Die Beklagte wird verurteilt, der Klägerin Auskunft zu erteilen über: (a) genaue Anzahl und Identität der für KI-Training genutzten Lichtbildwerke der Klägerin; (b) Datensätze und Zeiträume der Nutzung; (c) Umsätze, die mit dem trainierten Modell erzielt wurden.</w:t>
      </w:r>
    </w:p>
    <w:p>
      <w:pPr>
        <w:pStyle w:val="Heading3"/>
      </w:pPr>
      <w:r>
        <w:rPr>
          <w:rFonts w:ascii="Times New Roman" w:hAnsi="Times New Roman"/>
        </w:rPr>
        <w:t>Hilfsantrag</w:t>
      </w:r>
    </w:p>
    <w:p>
      <w:pPr>
        <w:jc w:val="left"/>
      </w:pPr>
      <w:r>
        <w:t>Hilfsweise: Bereicherungsrechtlicher Anspruch (§ 812 BGB) in Höhe der ersparten Lizenzgebühr.</w:t>
      </w:r>
    </w:p>
    <w:p/>
    <w:p>
      <w:pPr>
        <w:pStyle w:val="Heading2"/>
      </w:pPr>
      <w:r>
        <w:rPr>
          <w:rFonts w:ascii="Times New Roman" w:hAnsi="Times New Roman"/>
        </w:rPr>
        <w:t>III. Beweisangebote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Beweisthema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Beweismittel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Urheberrecht Windgassen an den Bildwerken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Katalogartikel Mare 04/2023, EXIF-Daten, Kamera-Raws, VG-Bild-Kunst-Mitgliedschaft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Aufnahme in LAION-5B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Serverlog-Auszug (Anlage P-1), Gutachten IT-Forensik Barkhoff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Nutzung für ImagineArt-Training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ImagineArt-Pressemitteilungen, öffentliche Dokumentation des Modells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Stilmimikry und Kompositionsklone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Sachverständigengutachten Bildästhetik (Prof. Dr. Katrin Felber, HfbK Hamburg)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robots.txt-Zustand zum Abruflauf-Datum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Serverlog, Wayback Machine-Screenshot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IV. Risikobewertung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Einschätzung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44b UrhG vor oder nach Inkrafttreten?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Gespalten: Bodden-Bilder im Juni-Abruflauf (vor 07.06.2021) — schwächere Position; August-Abruflauf (nach) — stärkere Position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robots.txt als wirksamer Vorbehalt?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Literatur gespalten; LG Hamburg noch keine Entscheidung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ImagineArt Inc. erscheint vor LG Hamburg?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Möglicherweise nicht — Vollstreckung in USA problematisch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US-Parallelverfahren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Getty Images v. Stability AI (SDNY, laufend) — Ausgang verfolgen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V. Kosten und Finanzierung</w:t>
      </w:r>
    </w:p>
    <w:p>
      <w:pPr>
        <w:jc w:val="left"/>
      </w:pPr>
      <w:r>
        <w:rPr>
          <w:b/>
        </w:rPr>
        <w:t>Streitwert:</w:t>
      </w:r>
      <w:r>
        <w:t xml:space="preserve"> 150.000 EUR</w:t>
      </w:r>
    </w:p>
    <w:p>
      <w:pPr>
        <w:jc w:val="left"/>
      </w:pPr>
      <w:r>
        <w:rPr>
          <w:b/>
        </w:rPr>
        <w:t>Gerichtskosten (GKG):</w:t>
      </w:r>
      <w:r>
        <w:t xml:space="preserve"> ca. 3.612 EUR (3 Gerichtsgebühren × 1.204 EUR bei Streitwert 150.000 EUR)</w:t>
      </w:r>
    </w:p>
    <w:p>
      <w:pPr>
        <w:jc w:val="left"/>
      </w:pPr>
      <w:r>
        <w:rPr>
          <w:b/>
        </w:rPr>
        <w:t>Anwaltsgebühren:</w:t>
      </w:r>
      <w:r>
        <w:t xml:space="preserve"> 1,3 Verfahrensgebühr + 1,2 Terminsgebühr = ca. 7.400 EUR netto</w:t>
      </w:r>
    </w:p>
    <w:p>
      <w:pPr>
        <w:jc w:val="left"/>
      </w:pPr>
      <w:r>
        <w:rPr>
          <w:b/>
        </w:rPr>
        <w:t>Gesamt (Klägerin):</w:t>
      </w:r>
      <w:r>
        <w:t xml:space="preserve"> ca. 11.000 EUR</w:t>
      </w:r>
    </w:p>
    <w:p>
      <w:pPr>
        <w:jc w:val="left"/>
      </w:pPr>
      <w:r>
        <w:t>Keine Rechtsschutzversicherungs-Deckung vorhanden. Windgassen trägt Kosten selbst. Kostenrisiko bei Verlieren (§ 91 ZPO): Gegnerkosten ca. 7.400 EUR — Windgassen akzeptiert dieses Risiko (bestätigt im Gespräch 14.01.2026).</w:t>
      </w:r>
    </w:p>
    <w:p/>
    <w:p>
      <w:pPr>
        <w:jc w:val="left"/>
      </w:pPr>
      <w:r>
        <w:rPr>
          <w:i/>
        </w:rPr>
        <w:t>Dr. AKB, 25.01.2026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