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Fristenübersicht — Windgassen, AZ 26-UMR-0084</w:t>
      </w:r>
    </w:p>
    <w:p>
      <w:pPr>
        <w:jc w:val="left"/>
      </w:pPr>
      <w:r>
        <w:rPr>
          <w:b/>
        </w:rPr>
        <w:t>Stand:</w:t>
      </w:r>
      <w:r>
        <w:t xml:space="preserve"> 25.01.2026</w:t>
      </w:r>
    </w:p>
    <w:p>
      <w:pPr>
        <w:jc w:val="left"/>
      </w:pPr>
      <w:r>
        <w:rPr>
          <w:b/>
        </w:rPr>
        <w:t>Verantwortlich:</w:t>
      </w:r>
      <w:r>
        <w:t xml:space="preserve"> Dr. Kreidler-Bremer / Hartenberg</w:t>
      </w:r>
    </w:p>
    <w:p>
      <w:pPr>
        <w:jc w:val="left"/>
      </w:pPr>
      <w:r>
        <w:rPr>
          <w:b/>
        </w:rPr>
        <w:t>Wiedervorlage:</w:t>
      </w:r>
      <w:r>
        <w:t xml:space="preserve"> täglich bis 30.01.2026, danach wöchentlich</w:t>
      </w:r>
    </w:p>
    <w:p/>
    <w:p>
      <w:pPr>
        <w:pStyle w:val="Heading2"/>
      </w:pPr>
      <w:r>
        <w:rPr>
          <w:rFonts w:ascii="Times New Roman" w:hAnsi="Times New Roman"/>
        </w:rPr>
        <w:t>Kritische Fristen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Sache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Frist-Art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30.01.2026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Modifizierte Ü an Quetschenpaua &amp; Kollegen (Filesharing)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Gesetzliche Reaktionsfrist aus Abmahnung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 — in Bearbeitung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30.01.2026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Gegendarstellungsverlangen an Eppendorfer Wochenanzeiger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Presserechtliche Frist (§ 11 HmbPresseG)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 — Entwurf fertig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15.02.2026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Angebot an Mare GmbH — Lizenzverhandlung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Intern gesetzt; Mare-Deadline Bildband intern März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28.02.2026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Klageschrift LG Hamburg 308 O 79/26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Intern gesetzt (keine gesetzliche Frist, aber Prozessplanung)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17.03.2026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DPMA-Schiedsstelle Sch-Urh 32/26 — Verhandlungstermin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Ladung DPMA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Verjährungsfristen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Anspruch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Verjährungsbeginn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Verjährungsende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Hemmung?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97 UrhG ImagineArt (August-Abruflauf 2021)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Kenntniserlangung Nov.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Ende 2028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(Schiedsstelle hemmt nur VGG-Streit)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97 UrhG ImagineArt (Juni-Abruflauf 2021, vor § 44b)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alternativ: deliktische Ansprüche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 Jahre ab Kenntnis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Lizenzstreit Mare 2019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Vertragsauslegung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Verjährung laufend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Gegendarstellung EWA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ohne Verzug, keine Jahresfrist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Ohne Verzug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Fristen Quetschenpaua &amp; Kollegen im Detail</w:t>
      </w:r>
    </w:p>
    <w:p>
      <w:pPr>
        <w:jc w:val="left"/>
      </w:pPr>
      <w:r>
        <w:t xml:space="preserve">Die Abmahnung vom 06.01.2026 setzt eine Frist bis </w:t>
      </w:r>
      <w:r>
        <w:rPr>
          <w:b/>
        </w:rPr>
        <w:t>30.01.2026</w:t>
      </w:r>
      <w:r>
        <w:t xml:space="preserve"> (24 Tage). Die Frist ist im Urheberrecht keine gesetzliche Frist — Quetschenpaua &amp; Kollegen setzt sie einseitig. Bei Versäumnis: Quetschenpaua &amp; Kollegen wird eine einstweilige Verfügung beim LG München beantragen.</w:t>
      </w:r>
    </w:p>
    <w:p>
      <w:pPr>
        <w:jc w:val="left"/>
      </w:pPr>
      <w:r>
        <w:rPr>
          <w:b/>
        </w:rPr>
        <w:t>Empfehlung:</w:t>
      </w:r>
      <w:r>
        <w:t xml:space="preserve"> Modifizierte Ü am </w:t>
      </w:r>
      <w:r>
        <w:rPr>
          <w:b/>
        </w:rPr>
        <w:t>28.01.2026</w:t>
      </w:r>
      <w:r>
        <w:t xml:space="preserve"> absenden (2 Tage Puffer), per Fax + Einschreiben + E-Mail.</w:t>
      </w:r>
    </w:p>
    <w:p/>
    <w:p>
      <w:pPr>
        <w:pStyle w:val="Heading2"/>
      </w:pPr>
      <w:r>
        <w:rPr>
          <w:rFonts w:ascii="Times New Roman" w:hAnsi="Times New Roman"/>
        </w:rPr>
        <w:t>Wiedervorlagekalender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Wiedervorlage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26.01.2026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Entwurf mod. Ü finalisieren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27.01.2026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Rücksprache Windgassen wegen Felix-Gespräch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28.01.2026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Absenden mod. Ü + Gegendarstellungsverlangen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Eingangsbestätigung EWA abwarten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Stand Mare-Verhandlung prüfen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Klageschrift-Entwurf LG Hamburg besprechen</w:t>
            </w:r>
          </w:p>
        </w:tc>
      </w:tr>
    </w:tbl>
    <w:p/>
    <w:p>
      <w:pPr>
        <w:jc w:val="left"/>
      </w:pPr>
      <w:r>
        <w:rPr>
          <w:i/>
        </w:rPr>
        <w:t>Hartenberg (Fristenbuch), Kreidler-Bremer (Zeichnung) — 25.01.2026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