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Sachverständigen-Anfrage: Stilmimikry und Kompositionsvergleich — Windgassen / ImagineArt Pro</w:t>
      </w:r>
    </w:p>
    <w:p>
      <w:pPr>
        <w:jc w:val="left"/>
      </w:pPr>
      <w:r>
        <w:rPr>
          <w:b/>
        </w:rPr>
        <w:t>AZ intern:</w:t>
      </w:r>
      <w:r>
        <w:t xml:space="preserve"> 26-UMR-0084 / Teilakte ImagineArt</w:t>
      </w:r>
    </w:p>
    <w:p>
      <w:pPr>
        <w:jc w:val="left"/>
      </w:pPr>
      <w:r>
        <w:rPr>
          <w:b/>
        </w:rPr>
        <w:t>Datum:</w:t>
      </w:r>
      <w:r>
        <w:t xml:space="preserve"> 24.01.2026</w:t>
      </w:r>
    </w:p>
    <w:p>
      <w:pPr>
        <w:jc w:val="left"/>
      </w:pPr>
      <w:r>
        <w:rPr>
          <w:b/>
        </w:rPr>
        <w:t>Von:</w:t>
      </w:r>
      <w:r>
        <w:t xml:space="preserve"> Dr. Kreidler-Bremer</w:t>
      </w:r>
    </w:p>
    <w:p>
      <w:pPr>
        <w:jc w:val="left"/>
      </w:pPr>
      <w:r>
        <w:rPr>
          <w:b/>
        </w:rPr>
        <w:t>An:</w:t>
      </w:r>
      <w:r>
        <w:t xml:space="preserve"> Prof. Dr. Katrin Felber, Professur für Fotografie und Bildwissenschaft, HfbK Hamburg</w:t>
      </w:r>
    </w:p>
    <w:p/>
    <w:p>
      <w:pPr>
        <w:pStyle w:val="Heading2"/>
      </w:pPr>
      <w:r>
        <w:rPr>
          <w:rFonts w:ascii="Times New Roman" w:hAnsi="Times New Roman"/>
        </w:rPr>
        <w:t>I. Anfrage-Kurzfassung</w:t>
      </w:r>
    </w:p>
    <w:p>
      <w:pPr>
        <w:jc w:val="left"/>
      </w:pPr>
      <w:r>
        <w:t>Sehr geehrte Frau Professor Felber,</w:t>
      </w:r>
    </w:p>
    <w:p>
      <w:pPr>
        <w:jc w:val="left"/>
      </w:pPr>
      <w:r>
        <w:t>Ich wende mich an Sie in einem urheberrechtlichen Verfahren am LG Hamburg (AZ 308 O 79/26) und bitte um Prüfung, ob Sie ein Privatgutachten zur Frage der ästhetischen Stilmimikry erstatten könnten.</w:t>
      </w:r>
    </w:p>
    <w:p/>
    <w:p>
      <w:pPr>
        <w:pStyle w:val="Heading2"/>
      </w:pPr>
      <w:r>
        <w:rPr>
          <w:rFonts w:ascii="Times New Roman" w:hAnsi="Times New Roman"/>
        </w:rPr>
        <w:t>II. Gutachtengegenstand</w:t>
      </w:r>
    </w:p>
    <w:p>
      <w:pPr>
        <w:pStyle w:val="Heading3"/>
      </w:pPr>
      <w:r>
        <w:rPr>
          <w:rFonts w:ascii="Times New Roman" w:hAnsi="Times New Roman"/>
        </w:rPr>
        <w:t>Vergleichsmaterial</w:t>
      </w:r>
    </w:p>
    <w:p>
      <w:pPr>
        <w:jc w:val="left"/>
      </w:pPr>
      <w:r>
        <w:rPr>
          <w:b/>
        </w:rPr>
        <w:t>Originale (Windgassen):</w:t>
      </w:r>
      <w:r>
        <w:t xml:space="preserve"> Reportage „Tristesse am Bodden" (Mare Nr. 141, April/Mai 2023), 16 Fotografien, Farb-Lichtbildwerke, Vollformat, digitale Aufnahme (Sony A7R IV, 61 MP). Spezifische Merkmale laut Mandantin:</w:t>
      </w:r>
    </w:p>
    <w:p>
      <w:pPr>
        <w:pStyle w:val="ListBullet"/>
      </w:pPr>
      <w:r>
        <w:t>Horizontlinie: konsequent im oberen Viertel des Bildes</w:t>
      </w:r>
    </w:p>
    <w:p>
      <w:pPr>
        <w:pStyle w:val="ListBullet"/>
      </w:pPr>
      <w:r>
        <w:t>Vordergrund: Schilfspiegelungen auf Wasseroberfläche, immer leicht unterbelichtet</w:t>
      </w:r>
    </w:p>
    <w:p>
      <w:pPr>
        <w:pStyle w:val="ListBullet"/>
      </w:pPr>
      <w:r>
        <w:t>Farbpalette: entsättigtes Blaugrau mit warmem Gelb-Ocker-Akzent im Hintergrund</w:t>
      </w:r>
    </w:p>
    <w:p>
      <w:pPr>
        <w:pStyle w:val="ListBullet"/>
      </w:pPr>
      <w:r>
        <w:t>Menschenleere Landschaft: keine Personen, nur Spuren menschlicher Anwesenheit (Boote, Zäune, Holzpfähle)</w:t>
      </w:r>
    </w:p>
    <w:p>
      <w:pPr>
        <w:pStyle w:val="ListBullet"/>
      </w:pPr>
      <w:r>
        <w:t>Beleuchtung: ausschließlich Gegenlicht oder Twilight, keine Sonneneinstrahlung von vorne</w:t>
      </w:r>
    </w:p>
    <w:p>
      <w:pPr>
        <w:jc w:val="left"/>
      </w:pPr>
      <w:r>
        <w:rPr>
          <w:b/>
        </w:rPr>
        <w:t>KI-Bilder (ImagineArt Pro):</w:t>
      </w:r>
      <w:r>
        <w:t xml:space="preserve"> Drei ausgedruckte Screenshots aus dem ImagineArt-Pro-Dienst (JPG-Anlagen J-1 bis J-3), erzeugt mit Prompts, die Windgassens Stilmerkmale beschreiben.</w:t>
      </w:r>
    </w:p>
    <w:p>
      <w:pPr>
        <w:pStyle w:val="Heading3"/>
      </w:pPr>
      <w:r>
        <w:rPr>
          <w:rFonts w:ascii="Times New Roman" w:hAnsi="Times New Roman"/>
        </w:rPr>
        <w:t>Gutachtenfragen</w:t>
      </w:r>
    </w:p>
    <w:p>
      <w:pPr>
        <w:pStyle w:val="ListNumber"/>
      </w:pPr>
      <w:r>
        <w:t>Weisen die ImagineArt-Bilder (Anlagen J-1 bis J-3) charakteristische ästhetische Merkmale auf, die mit der spezifischen Bildsprache der Windgassen-Serie „Tristesse am Bodden" übereinstimmen?</w:t>
      </w:r>
    </w:p>
    <w:p>
      <w:pPr>
        <w:pStyle w:val="ListNumber"/>
      </w:pPr>
      <w:r>
        <w:t>Sind diese Übereinstimmungen so ausgeprägt und spezifisch, dass sie nach kunstwissenschaftlichem Verständnis auf eine Imitation des individuellen Bildstils der Klägerin hindeuten?</w:t>
      </w:r>
    </w:p>
    <w:p>
      <w:pPr>
        <w:pStyle w:val="ListNumber"/>
      </w:pPr>
      <w:r>
        <w:t>Sind die beschriebenen Merkmale (Horizontlinie, Farbpalette, Gegenlichtkomposition, Schilfmotiv) ausreichend individuell und charakteristisch, um von einem wiedererkennbaren künstlerischen „Handschrift"-Stil einer Fotografin zu sprechen?</w:t>
      </w:r>
    </w:p>
    <w:p/>
    <w:p>
      <w:pPr>
        <w:pStyle w:val="Heading2"/>
      </w:pPr>
      <w:r>
        <w:rPr>
          <w:rFonts w:ascii="Times New Roman" w:hAnsi="Times New Roman"/>
        </w:rPr>
        <w:t>III. Rechtliche Einordnung des Gutachtens</w:t>
      </w:r>
    </w:p>
    <w:p>
      <w:pPr>
        <w:jc w:val="left"/>
      </w:pPr>
      <w:r>
        <w:t>Das Gutachten dient als Privatgutachten, das der Klage als Anlage beigefügt wird. Falls das LG Hamburg einen gerichtlichen Sachverständigen bestellt, kann Prof. Felber als Zeuge und Fachexpertin geladen werden.</w:t>
      </w:r>
    </w:p>
    <w:p>
      <w:pPr>
        <w:jc w:val="left"/>
      </w:pPr>
      <w:r>
        <w:rPr>
          <w:b/>
        </w:rPr>
        <w:t>Hinweis:</w:t>
      </w:r>
      <w:r>
        <w:t xml:space="preserve"> Urheberrechtlich schützt das UrhG nur konkrete Werke, nicht den Stil als solchen (§ 2 UrhG). Ein Stilschutz besteht nicht unmittelbar. Das Gutachten ist relevant für:</w:t>
      </w:r>
    </w:p>
    <w:p>
      <w:pPr>
        <w:pStyle w:val="ListBullet"/>
      </w:pPr>
      <w:r>
        <w:t>Nachweis, dass konkrete Bildelemente (Komposition, Bildausschnitt) aus Windgassen-Werken in das Modell eingeflossen sind</w:t>
      </w:r>
    </w:p>
    <w:p>
      <w:pPr>
        <w:pStyle w:val="ListBullet"/>
      </w:pPr>
      <w:r>
        <w:t>Nachweis, dass die generierten Bilder als „Kompositionsklone" (nicht bloß Stilähnlichkeit) zu qualifizieren sind</w:t>
      </w:r>
    </w:p>
    <w:p>
      <w:pPr>
        <w:pStyle w:val="ListBullet"/>
      </w:pPr>
      <w:r>
        <w:t>Glaubhaftmachung des Schadens durch Entwertung des Alleinstellungsmerkmals</w:t>
      </w:r>
    </w:p>
    <w:p/>
    <w:p>
      <w:pPr>
        <w:pStyle w:val="Heading2"/>
      </w:pPr>
      <w:r>
        <w:rPr>
          <w:rFonts w:ascii="Times New Roman" w:hAnsi="Times New Roman"/>
        </w:rPr>
        <w:t>IV. Vergütung und Zeitplan</w:t>
      </w:r>
    </w:p>
    <w:p>
      <w:pPr>
        <w:jc w:val="left"/>
      </w:pPr>
      <w:r>
        <w:t xml:space="preserve">Gutachtenhonorar: bis 3.500 EUR (kann verauslagt werden). Zeitplan: Begutachtung bis </w:t>
      </w:r>
      <w:r>
        <w:rPr>
          <w:b/>
        </w:rPr>
        <w:t>25.02.2026</w:t>
      </w:r>
      <w:r>
        <w:t xml:space="preserve"> erbeten.</w:t>
      </w:r>
    </w:p>
    <w:p/>
    <w:p>
      <w:pPr>
        <w:jc w:val="left"/>
      </w:pPr>
      <w:r>
        <w:rPr>
          <w:i/>
        </w:rPr>
        <w:t>Dr. AKB, 24.01.2026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