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BFF-Beratungsprotokoll — Windgassen / KI-Training-Problematik</w:t>
      </w:r>
    </w:p>
    <w:p>
      <w:pPr>
        <w:jc w:val="left"/>
      </w:pPr>
      <w:r>
        <w:rPr>
          <w:b/>
        </w:rPr>
        <w:t>Datum:</w:t>
      </w:r>
      <w:r>
        <w:t xml:space="preserve"> 18.10.2023 (Notiz retrograd aufgenommen; Windgassen hat Dokument erst 14.01.2026 übergeben)</w:t>
      </w:r>
    </w:p>
    <w:p>
      <w:pPr>
        <w:jc w:val="left"/>
      </w:pPr>
      <w:r>
        <w:rPr>
          <w:b/>
        </w:rPr>
        <w:t>Veranstaltung:</w:t>
      </w:r>
      <w:r>
        <w:t xml:space="preserve"> BFF-Seminar „KI und Fotorecht", Hamburg Harbour Front, 17.–18.10.2023</w:t>
      </w:r>
    </w:p>
    <w:p>
      <w:pPr>
        <w:jc w:val="left"/>
      </w:pPr>
      <w:r>
        <w:rPr>
          <w:b/>
        </w:rPr>
        <w:t>Referent:</w:t>
      </w:r>
      <w:r>
        <w:t xml:space="preserve"> RA Dr. Holger Pfeffer-Schwab, München (Urheberrecht/KI)</w:t>
      </w:r>
    </w:p>
    <w:p>
      <w:pPr>
        <w:jc w:val="left"/>
      </w:pPr>
      <w:r>
        <w:rPr>
          <w:b/>
        </w:rPr>
        <w:t>Teilnehmerin:</w:t>
      </w:r>
      <w:r>
        <w:t xml:space="preserve"> Mira Windgassen</w:t>
      </w:r>
    </w:p>
    <w:p/>
    <w:p>
      <w:pPr>
        <w:pStyle w:val="Heading2"/>
      </w:pPr>
      <w:r>
        <w:rPr>
          <w:rFonts w:ascii="Times New Roman" w:hAnsi="Times New Roman"/>
        </w:rPr>
        <w:t>Persönliche Beratungsnotiz (handschriftlich von Windgassen, transkribiert)</w:t>
      </w:r>
    </w:p>
    <w:p>
      <w:pPr>
        <w:jc w:val="left"/>
      </w:pPr>
      <w:r>
        <w:rPr>
          <w:i/>
        </w:rPr>
        <w:t>Transkription durch Kanzlei Kreidler-Bremer, 14.01.2026:</w:t>
      </w:r>
    </w:p>
    <w:p/>
    <w:p>
      <w:pPr>
        <w:jc w:val="left"/>
      </w:pPr>
      <w:r>
        <w:t>Nach dem Seminar habe ich kurz mit Dr. Pfeffer-Schwab gesprochen. Er meinte:</w:t>
      </w:r>
    </w:p>
    <w:p>
      <w:pPr>
        <w:pStyle w:val="ListBullet"/>
      </w:pPr>
      <w:r>
        <w:t xml:space="preserve">robots.txt allein reicht </w:t>
      </w:r>
      <w:r>
        <w:rPr>
          <w:b/>
        </w:rPr>
        <w:t>möglicherweise nicht</w:t>
      </w:r>
      <w:r>
        <w:t xml:space="preserve"> für den KI-Opt-out nach § 44b UrhG, weil der Gesetzgeber noch keine Standardisierung vorgeschrieben hat.</w:t>
      </w:r>
    </w:p>
    <w:p>
      <w:pPr>
        <w:pStyle w:val="ListBullet"/>
      </w:pPr>
      <w:r>
        <w:t xml:space="preserve">Man sollte </w:t>
      </w:r>
      <w:r>
        <w:rPr>
          <w:b/>
        </w:rPr>
        <w:t>ai.txt</w:t>
      </w:r>
      <w:r>
        <w:t xml:space="preserve"> einrichten (das Devicex-Modell), aber auch in den Bildunterschriften und in den Metadaten/IPTC-Feldern der JPEGs einen Vermerk aufnehmen: „No AI training".</w:t>
      </w:r>
    </w:p>
    <w:p>
      <w:pPr>
        <w:pStyle w:val="ListBullet"/>
      </w:pPr>
      <w:r>
        <w:t xml:space="preserve">Er hat empfohlen, die </w:t>
      </w:r>
      <w:r>
        <w:rPr>
          <w:b/>
        </w:rPr>
        <w:t>VG Bild-Kunst</w:t>
      </w:r>
      <w:r>
        <w:t xml:space="preserve"> zu kontaktieren, die gerade an Musterformulierungen für den Opt-out arbeite.</w:t>
      </w:r>
    </w:p>
    <w:p>
      <w:pPr>
        <w:pStyle w:val="ListBullet"/>
      </w:pPr>
      <w:r>
        <w:t xml:space="preserve">Er hat auf die </w:t>
      </w:r>
      <w:r>
        <w:rPr>
          <w:b/>
        </w:rPr>
        <w:t>LAION-Problematik</w:t>
      </w:r>
      <w:r>
        <w:t xml:space="preserve"> hingewiesen: Falls Bilder bereits drin sind, sei der Opt-out ex nunc — rückwirkend kein Schutz.</w:t>
      </w:r>
    </w:p>
    <w:p>
      <w:pPr>
        <w:jc w:val="left"/>
      </w:pPr>
      <w:r>
        <w:t>Ich habe das dann im Oktober 2023 umgesetzt:</w:t>
      </w:r>
    </w:p>
    <w:p>
      <w:pPr>
        <w:pStyle w:val="ListBullet"/>
      </w:pPr>
      <w:r>
        <w:t>ai.txt eingerichtet (Standard nach Devicex.ai, Datum: 12.10.2023)</w:t>
      </w:r>
    </w:p>
    <w:p>
      <w:pPr>
        <w:pStyle w:val="ListBullet"/>
      </w:pPr>
      <w:r>
        <w:t>IPTC-Keywords ergänzt in allen neuen Uploads: „No AI Training", „AI-Training: Disallow"</w:t>
      </w:r>
    </w:p>
    <w:p>
      <w:pPr>
        <w:pStyle w:val="ListBullet"/>
      </w:pPr>
      <w:r>
        <w:t>Bei alten Bildern: nur teilweise nachgepflegt (ca. 8.000 von 18.400 Bildern)</w:t>
      </w:r>
    </w:p>
    <w:p>
      <w:pPr>
        <w:jc w:val="left"/>
      </w:pPr>
      <w:r>
        <w:t xml:space="preserve">Was ich vergessen habe: Den </w:t>
      </w:r>
      <w:r>
        <w:t>User-agent: *</w:t>
      </w:r>
      <w:r>
        <w:t xml:space="preserve"> in der robots.txt um </w:t>
      </w:r>
      <w:r>
        <w:t>AI-Training: Disallow</w:t>
      </w:r>
      <w:r>
        <w:t xml:space="preserve"> zu ergänzen (das bot das Gerät erst im Standard ab November 2023 an).</w:t>
      </w:r>
    </w:p>
    <w:p>
      <w:pPr>
        <w:jc w:val="left"/>
      </w:pPr>
      <w:r>
        <w:rPr>
          <w:b/>
        </w:rPr>
        <w:t>Meine Sorge:</w:t>
      </w:r>
      <w:r>
        <w:t xml:space="preserve"> Die Bilder der Bodden-Reportage, die ich im März 2021 hochgeladen hatte, waren schon vor § 44b drin. Und ich weiß nicht genau, wann Common-Data-Index die abgerufen hat.</w:t>
      </w:r>
    </w:p>
    <w:p/>
    <w:p>
      <w:pPr>
        <w:pStyle w:val="Heading2"/>
      </w:pPr>
      <w:r>
        <w:rPr>
          <w:rFonts w:ascii="Times New Roman" w:hAnsi="Times New Roman"/>
        </w:rPr>
        <w:t>Einschätzung Kanzlei (Notiz Dr. AKB, 14.01.2026)</w:t>
      </w:r>
    </w:p>
    <w:p>
      <w:pPr>
        <w:jc w:val="left"/>
      </w:pPr>
      <w:r>
        <w:t>Dieses Dokument ist wertvoll:</w:t>
      </w:r>
    </w:p>
    <w:p>
      <w:pPr>
        <w:pStyle w:val="ListNumber"/>
      </w:pPr>
      <w:r>
        <w:t xml:space="preserve">Es belegt, dass Windgassen </w:t>
      </w:r>
      <w:r>
        <w:rPr>
          <w:b/>
        </w:rPr>
        <w:t>aktiv und in gutem Glauben</w:t>
      </w:r>
      <w:r>
        <w:t xml:space="preserve"> Opt-out-Maßnahmen ergriffen hat — relevant für Verschuldensfrage.</w:t>
      </w:r>
    </w:p>
    <w:p>
      <w:pPr>
        <w:pStyle w:val="ListNumber"/>
      </w:pPr>
      <w:r>
        <w:t>Die Information über IPTC-Keywords in Bilddateien ist ein weiterer Vorbehaltsmechanismus, der neben robots.txt und ai.txt tritt.</w:t>
      </w:r>
    </w:p>
    <w:p>
      <w:pPr>
        <w:pStyle w:val="ListNumber"/>
      </w:pPr>
      <w:r>
        <w:t xml:space="preserve">Es belegt, dass der Opt-out </w:t>
      </w:r>
      <w:r>
        <w:rPr>
          <w:b/>
        </w:rPr>
        <w:t>erst ab Oktober 2023</w:t>
      </w:r>
      <w:r>
        <w:t xml:space="preserve"> vollständig war — für Bilder, die vor diesem Zeitpunkt abgerufen wurden, ist der Schutz zweifelhaft.</w:t>
      </w:r>
    </w:p>
    <w:p>
      <w:pPr>
        <w:pStyle w:val="ListNumber"/>
      </w:pPr>
      <w:r>
        <w:t>Widerspricht Windgassens frühere Aussage, wonach die robots.txt seit 2019 den Schutz geleistet habe — jetzt ergibt sich, dass sie selbst 2023 noch Optimierungsbedarf sah.</w:t>
      </w:r>
    </w:p>
    <w:p>
      <w:pPr>
        <w:jc w:val="left"/>
      </w:pPr>
      <w:r>
        <w:rPr>
          <w:b/>
        </w:rPr>
        <w:t>Folge für Klagestrategie:</w:t>
      </w:r>
      <w:r>
        <w:t xml:space="preserve"> Im Schriftsatz § 44b-Opt-out primär auf den </w:t>
      </w:r>
      <w:r>
        <w:rPr>
          <w:b/>
        </w:rPr>
        <w:t>August-2021-Abruflauf</w:t>
      </w:r>
      <w:r>
        <w:t xml:space="preserve"> (nach § 44b) und die damalige robots.txt stützen; IPTC-Keywords als weiteres Argument (zumindest ab Oktober 2023 für Fine-Tuning-Abrufläufe relevant).</w:t>
      </w:r>
    </w:p>
    <w:p/>
    <w:p>
      <w:pPr>
        <w:jc w:val="left"/>
      </w:pPr>
      <w:r>
        <w:rPr>
          <w:i/>
        </w:rPr>
        <w:t>Anlage: Original-Handschrift Windgassen (bei Akte, nicht digitalisiert)</w:t>
      </w:r>
    </w:p>
    <w:p>
      <w:pPr>
        <w:jc w:val="left"/>
      </w:pPr>
      <w:r>
        <w:rPr>
          <w:i/>
        </w:rPr>
        <w:t>Transkription: Hartenberg, 14.01.2026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