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VG Bild-Kunst — KI-Training-Tarifstreit: Überblick und Windgassen-Perspektive</w:t>
      </w:r>
    </w:p>
    <w:p>
      <w:pPr>
        <w:jc w:val="left"/>
      </w:pPr>
      <w:r>
        <w:rPr>
          <w:b/>
        </w:rPr>
        <w:t>AZ intern:</w:t>
      </w:r>
      <w:r>
        <w:t xml:space="preserve"> 26-UMR-0084</w:t>
      </w:r>
    </w:p>
    <w:p>
      <w:pPr>
        <w:jc w:val="left"/>
      </w:pPr>
      <w:r>
        <w:rPr>
          <w:b/>
        </w:rPr>
        <w:t>Datum:</w:t>
      </w:r>
      <w:r>
        <w:t xml:space="preserve"> 25.01.2026</w:t>
      </w:r>
    </w:p>
    <w:p>
      <w:pPr>
        <w:jc w:val="left"/>
      </w:pPr>
      <w:r>
        <w:rPr>
          <w:b/>
        </w:rPr>
        <w:t>Bearbeiterin:</w:t>
      </w:r>
      <w:r>
        <w:t xml:space="preserve"> Dr. Kreidler-Bremer</w:t>
      </w:r>
    </w:p>
    <w:p/>
    <w:p>
      <w:pPr>
        <w:pStyle w:val="Heading2"/>
      </w:pPr>
      <w:r>
        <w:rPr>
          <w:rFonts w:ascii="Times New Roman" w:hAnsi="Times New Roman"/>
        </w:rPr>
        <w:t>I. VG Bild-Kunst und Windgassen</w:t>
      </w:r>
    </w:p>
    <w:p>
      <w:pPr>
        <w:jc w:val="left"/>
      </w:pPr>
      <w:r>
        <w:t xml:space="preserve">Mira Windgassen ist Mitglied der </w:t>
      </w:r>
      <w:r>
        <w:rPr>
          <w:b/>
        </w:rPr>
        <w:t>VG Bild-Kunst</w:t>
      </w:r>
      <w:r>
        <w:t xml:space="preserve"> (Verwertungsgesellschaft Bild-Kunst, Bonn) seit 2008, Gruppe II (Fotografen, freie Bildkünstler). Mitgliedsnummer: 142.907. Jährliche Ausschüttungen nach VGG §§ 40 ff. im Durchschnitt der letzten 5 Jahre: 3.840 EUR/Jahr (hauptsächlich aus Pressevergütungen und KopieGerät-Pauschalen).</w:t>
      </w:r>
    </w:p>
    <w:p/>
    <w:p>
      <w:pPr>
        <w:pStyle w:val="Heading2"/>
      </w:pPr>
      <w:r>
        <w:rPr>
          <w:rFonts w:ascii="Times New Roman" w:hAnsi="Times New Roman"/>
        </w:rPr>
        <w:t>II. VGG-Rechtssystem</w:t>
      </w:r>
    </w:p>
    <w:p>
      <w:pPr>
        <w:jc w:val="left"/>
      </w:pPr>
      <w:r>
        <w:t xml:space="preserve">Das </w:t>
      </w:r>
      <w:r>
        <w:rPr>
          <w:b/>
        </w:rPr>
        <w:t>Verwertungsgesellschaftengesetz (VGG)</w:t>
      </w:r>
      <w:r>
        <w:t xml:space="preserve"> vom 24.05.2016 (BGBl. I S. 1190) regelt die Organisation und das Handeln der deutschen Verwertungsgesellschaften. Für den KI-Tarifstreit relevante Normen:</w:t>
      </w:r>
    </w:p>
    <w:p>
      <w:pPr>
        <w:jc w:val="left"/>
      </w:pPr>
      <w:r>
        <w:rPr>
          <w:b/>
        </w:rPr>
        <w:t>§ 34 VGG</w:t>
      </w:r>
      <w:r>
        <w:t xml:space="preserve"> — Nicht diskriminierende Bedingungen: Verwertungsgesellschaften müssen jedermann zu nicht diskriminierenden und angemessenen Bedingungen Lizenzen einräumen.</w:t>
      </w:r>
    </w:p>
    <w:p>
      <w:pPr>
        <w:jc w:val="left"/>
      </w:pPr>
      <w:r>
        <w:rPr>
          <w:b/>
        </w:rPr>
        <w:t>§ 92 VGG</w:t>
      </w:r>
      <w:r>
        <w:t xml:space="preserve"> — Schiedsstellenverfahren: Streitigkeiten über Tarife werden über die Schiedsstelle beim DPMA geleitet, bevor Klage erhoben werden kann.</w:t>
      </w:r>
    </w:p>
    <w:p>
      <w:pPr>
        <w:jc w:val="left"/>
      </w:pPr>
      <w:r>
        <w:rPr>
          <w:b/>
        </w:rPr>
        <w:t>§ 128 VGG</w:t>
      </w:r>
      <w:r>
        <w:t xml:space="preserve"> — Verteilung der Einnahmen: Einnahmen müssen nach einem gerechten Verteilungsplan ausgeschüttet werden; Einzelschöpfer dürfen nicht benachteiligt werden.</w:t>
      </w:r>
    </w:p>
    <w:p/>
    <w:p>
      <w:pPr>
        <w:pStyle w:val="Heading2"/>
      </w:pPr>
      <w:r>
        <w:rPr>
          <w:rFonts w:ascii="Times New Roman" w:hAnsi="Times New Roman"/>
        </w:rPr>
        <w:t>III. Tarif-Entwurf VG Bild-Kunst (Stand: Oktober 2025)</w:t>
      </w:r>
    </w:p>
    <w:p>
      <w:pPr>
        <w:jc w:val="left"/>
      </w:pPr>
      <w:r>
        <w:t>Der Tarif „KI-TDM-Vergütung Lichtbild 2025" ist intern als Entwurf gefasst. Die VG Bild-Kunst hat ihn Mitte Oktober 2025 den Nutzerverbänden (BITKOM, eco, BVDW) mitgeteilt. Die Nutzerverbände haben abgelehnt, was zur Anrufung der Schiedsstelle nach § 92 VGG geführt hat.</w:t>
      </w:r>
    </w:p>
    <w:p>
      <w:pPr>
        <w:pStyle w:val="Heading3"/>
      </w:pPr>
      <w:r>
        <w:rPr>
          <w:rFonts w:ascii="Times New Roman" w:hAnsi="Times New Roman"/>
        </w:rPr>
        <w:t>Tarif-Kern: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Nutzungstiefe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Vergütung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Indexierung/Thumbnails (kein Training)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0,01 EUR/Bild/Jahr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Training (Einzel-Pass, kein Fine-Tuning)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0,08 EUR/Bild, einmalig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Fine-Tuning oder Multi-Pass-Training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0,20 EUR/Bild, einmalig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Kommerzielle Model-Distribution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0,35 EUR/Bild (Pauschal per Modellversion)</w:t>
            </w:r>
          </w:p>
        </w:tc>
      </w:tr>
    </w:tbl>
    <w:p>
      <w:pPr>
        <w:jc w:val="left"/>
      </w:pPr>
      <w:r>
        <w:rPr>
          <w:b/>
        </w:rPr>
        <w:t>Mindestlizenz:</w:t>
      </w:r>
      <w:r>
        <w:t xml:space="preserve"> 50.000 EUR/Modell/Jahr für professionelle KI-Anbieter.</w:t>
      </w:r>
    </w:p>
    <w:p/>
    <w:p>
      <w:pPr>
        <w:pStyle w:val="Heading2"/>
      </w:pPr>
      <w:r>
        <w:rPr>
          <w:rFonts w:ascii="Times New Roman" w:hAnsi="Times New Roman"/>
        </w:rPr>
        <w:t>IV. BITKOM-Gegenposition</w:t>
      </w:r>
    </w:p>
    <w:p>
      <w:pPr>
        <w:jc w:val="left"/>
      </w:pPr>
      <w:r>
        <w:t>BITKOM lehnt eine gesonderte TDM-Vergütung grundsätzlich ab:</w:t>
      </w:r>
    </w:p>
    <w:p>
      <w:pPr>
        <w:pStyle w:val="ListNumber"/>
      </w:pPr>
      <w:r>
        <w:t>§ 44b UrhG schränke das Urheberrecht durch ein Schrankenprivileg ein, das verfassungskonform ist (Eigentumsgarantie Art. 14 GG in Schranken nach Art. 14 Abs. 2 GG).</w:t>
      </w:r>
    </w:p>
    <w:p>
      <w:pPr>
        <w:pStyle w:val="ListNumber"/>
      </w:pPr>
      <w:r>
        <w:t>Eine zusätzliche Vergütungspflicht sieht das Gesetz nicht vor — § 44b UrhG sei im Unterschied zu § 27 UrhG (Vergütungspflicht für Bibliotheksregelungen) nicht vergütungspflichtig ausgestaltet.</w:t>
      </w:r>
    </w:p>
    <w:p>
      <w:pPr>
        <w:pStyle w:val="ListNumber"/>
      </w:pPr>
      <w:r>
        <w:t>Ein Tarifzwang würde KI-Innovation in Deutschland unzumutbar belasten.</w:t>
      </w:r>
    </w:p>
    <w:p/>
    <w:p>
      <w:pPr>
        <w:pStyle w:val="Heading2"/>
      </w:pPr>
      <w:r>
        <w:rPr>
          <w:rFonts w:ascii="Times New Roman" w:hAnsi="Times New Roman"/>
        </w:rPr>
        <w:t>V. Bedeutung für Windgassen und Strategie</w:t>
      </w:r>
    </w:p>
    <w:p>
      <w:pPr>
        <w:jc w:val="left"/>
      </w:pPr>
      <w:r>
        <w:t>Die Grundsatzfrage (Vergütungspflicht ja/nein) übersteigt Windgassens individuelles Mandat. Die Bedeutung für sie:</w:t>
      </w:r>
    </w:p>
    <w:p>
      <w:pPr>
        <w:pStyle w:val="ListBullet"/>
      </w:pPr>
      <w:r>
        <w:t>Positiver Ausgang → Ausschüttungen aus VG Bild-Kunst könnten erstmals KI-Vergütung enthalten</w:t>
      </w:r>
    </w:p>
    <w:p>
      <w:pPr>
        <w:pStyle w:val="ListBullet"/>
      </w:pPr>
      <w:r>
        <w:t>Negativer Ausgang → Individuelle § 97-Klage gegen ImagineArt Inc. ist noch möglich, aber der Opt-out-Nachweis wird zum entscheidenden Hebel</w:t>
      </w:r>
    </w:p>
    <w:p>
      <w:pPr>
        <w:jc w:val="left"/>
      </w:pPr>
      <w:r>
        <w:t>Dr. Kreidler-Bremer empfiehlt, die Schiedsstellen-Entwicklung eng zu beobachten und den LG-Hamburg-Prozess parallel voranzutreiben — beide Verfahren sind nicht deckungsgleich.</w:t>
      </w:r>
    </w:p>
    <w:p/>
    <w:p>
      <w:pPr>
        <w:jc w:val="left"/>
      </w:pPr>
      <w:r>
        <w:rPr>
          <w:i/>
        </w:rPr>
        <w:t>Dr. AKB, 25.01.2026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