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Sekundäre Darlegungslast — Felix Windgassen, 14 Jahre</w:t>
      </w:r>
    </w:p>
    <w:p>
      <w:pPr>
        <w:jc w:val="left"/>
      </w:pPr>
      <w:r>
        <w:rPr>
          <w:b/>
        </w:rPr>
        <w:t>AZ intern:</w:t>
      </w:r>
      <w:r>
        <w:t xml:space="preserve"> 26-UMR-0084 / Teilakte Filesharing</w:t>
      </w:r>
    </w:p>
    <w:p>
      <w:pPr>
        <w:jc w:val="left"/>
      </w:pPr>
      <w:r>
        <w:rPr>
          <w:b/>
        </w:rPr>
        <w:t>Datum:</w:t>
      </w:r>
      <w:r>
        <w:t xml:space="preserve"> 23.01.2026</w:t>
      </w:r>
    </w:p>
    <w:p>
      <w:pPr>
        <w:jc w:val="left"/>
      </w:pPr>
      <w:r>
        <w:rPr>
          <w:b/>
        </w:rPr>
        <w:t>Bearbeiterin:</w:t>
      </w:r>
      <w:r>
        <w:t xml:space="preserve"> Dr. Kreidler-Bremer</w:t>
      </w:r>
    </w:p>
    <w:p>
      <w:pPr>
        <w:jc w:val="left"/>
      </w:pPr>
      <w:r>
        <w:rPr>
          <w:b/>
        </w:rPr>
        <w:t>Hintergrund:</w:t>
      </w:r>
      <w:r>
        <w:t xml:space="preserve"> Telefonat mit Mira Windgassen 23.01.2026, 16:40 Uhr</w:t>
      </w:r>
    </w:p>
    <w:p/>
    <w:p>
      <w:pPr>
        <w:pStyle w:val="Heading2"/>
      </w:pPr>
      <w:r>
        <w:rPr>
          <w:rFonts w:ascii="Times New Roman" w:hAnsi="Times New Roman"/>
        </w:rPr>
        <w:t>I. Gesprächsinhalt (Diktatnotiz)</w:t>
      </w:r>
    </w:p>
    <w:p>
      <w:pPr>
        <w:jc w:val="left"/>
      </w:pPr>
      <w:r>
        <w:t>Ich habe Frau Windgassen gebeten, mit ihrem Sohn Felix (14 J.) ein klärendes Gespräch zu führen. Sie hat mir heute rückgemeldet:</w:t>
      </w:r>
    </w:p>
    <w:p>
      <w:pPr>
        <w:jc w:val="left"/>
      </w:pPr>
      <w:r>
        <w:rPr>
          <w:b/>
        </w:rPr>
        <w:t>Felix Windgassen:</w:t>
      </w:r>
      <w:r>
        <w:t xml:space="preserve"> Hat eingeräumt, den BitTorrent-Client qBittorrent auf seinem PC installiert zu haben. Er habe die drei Filme im Oktober/November 2025 heruntergeladen und dabei nicht bewusst „angeboten" (Seeding). Er wusste, dass das „irgendwie verboten" sei, habe es aber als ungefährlich eingeschätzt, weil „alle das machen".</w:t>
      </w:r>
    </w:p>
    <w:p>
      <w:pPr>
        <w:jc w:val="left"/>
      </w:pPr>
      <w:r>
        <w:rPr>
          <w:b/>
        </w:rPr>
        <w:t>Mira Windgassen:</w:t>
      </w:r>
      <w:r>
        <w:t xml:space="preserve"> Sie hat Felix nach eigener Aussage im Jahr 2024 „einmal allgemein erklärt, dass man keine Sachen aus dem Internet illegal herunterladen darf". Ein konkretes Gespräch über BitTorrent/Filesharing habe nicht stattgefunden. Sie habe keine Kindersicherung auf dem Router eingerichtet, aber Felix' Computer habe ein eigenes Benutzerkonto (ohne Administratorrechte). qBittorrent kann unter Windows ohne Administratorrechte installiert werden.</w:t>
      </w:r>
    </w:p>
    <w:p/>
    <w:p>
      <w:pPr>
        <w:pStyle w:val="Heading2"/>
      </w:pPr>
      <w:r>
        <w:rPr>
          <w:rFonts w:ascii="Times New Roman" w:hAnsi="Times New Roman"/>
        </w:rPr>
        <w:t>II. Rechtliche Bewertung der Darlegungslast</w:t>
      </w:r>
    </w:p>
    <w:p>
      <w:pPr>
        <w:pStyle w:val="Heading3"/>
      </w:pPr>
      <w:r>
        <w:rPr>
          <w:rFonts w:ascii="Times New Roman" w:hAnsi="Times New Roman"/>
        </w:rPr>
        <w:t>BGH „Tauschbörse III" (BGH I ZR 75/14, Urteil 11.06.2015)</w:t>
      </w:r>
    </w:p>
    <w:p>
      <w:pPr>
        <w:jc w:val="left"/>
      </w:pPr>
      <w:r>
        <w:t>Der BGH hat festgestellt, dass Eltern ihre Aufsichtspflicht gegenüber einem 13-jährigen Kind (mutatis mutandis auch 14-jährigem) regelmäßig dann erfüllen, wenn sie:</w:t>
      </w:r>
    </w:p>
    <w:p>
      <w:pPr>
        <w:pStyle w:val="ListNumber"/>
      </w:pPr>
      <w:r>
        <w:t xml:space="preserve">Das Kind über die </w:t>
      </w:r>
      <w:r>
        <w:rPr>
          <w:b/>
        </w:rPr>
        <w:t>Rechtswidrigkeit</w:t>
      </w:r>
      <w:r>
        <w:t xml:space="preserve"> von Filesharing belehrt haben</w:t>
      </w:r>
    </w:p>
    <w:p>
      <w:pPr>
        <w:pStyle w:val="ListNumber"/>
      </w:pPr>
      <w:r>
        <w:t xml:space="preserve">Dem Kind die </w:t>
      </w:r>
      <w:r>
        <w:rPr>
          <w:b/>
        </w:rPr>
        <w:t>Teilnahme verboten</w:t>
      </w:r>
      <w:r>
        <w:t xml:space="preserve"> haben</w:t>
      </w:r>
    </w:p>
    <w:p>
      <w:pPr>
        <w:jc w:val="left"/>
      </w:pPr>
      <w:r>
        <w:t>Eine Überwachungspflicht oder Pflicht zur Sperrung des Internetzugangs besteht grundsätzlich nicht.</w:t>
      </w:r>
    </w:p>
    <w:p>
      <w:pPr>
        <w:pStyle w:val="Heading3"/>
      </w:pPr>
      <w:r>
        <w:rPr>
          <w:rFonts w:ascii="Times New Roman" w:hAnsi="Times New Roman"/>
        </w:rPr>
        <w:t>Anwendung auf Felix Windgassen</w:t>
      </w:r>
    </w:p>
    <w:p>
      <w:pPr>
        <w:jc w:val="left"/>
      </w:pPr>
      <w:r>
        <w:rPr>
          <w:b/>
        </w:rPr>
        <w:t>Problematisch:</w:t>
      </w:r>
    </w:p>
    <w:p>
      <w:pPr>
        <w:pStyle w:val="ListBullet"/>
      </w:pPr>
      <w:r>
        <w:t>Die allgemeine Belehrung von 2024 war unspezifisch — kein konkretes Filesharing-Verbot</w:t>
      </w:r>
    </w:p>
    <w:p>
      <w:pPr>
        <w:pStyle w:val="ListBullet"/>
      </w:pPr>
      <w:r>
        <w:t>Felix kannte die Problematik „irgendwie" (Eigenaussage), hatte aber kein klares Verbot erhalten</w:t>
      </w:r>
    </w:p>
    <w:p>
      <w:pPr>
        <w:pStyle w:val="ListBullet"/>
      </w:pPr>
      <w:r>
        <w:t>Dies könnte als unzureichende Belehrung gewertet werden</w:t>
      </w:r>
    </w:p>
    <w:p>
      <w:pPr>
        <w:jc w:val="left"/>
      </w:pPr>
      <w:r>
        <w:rPr>
          <w:b/>
        </w:rPr>
        <w:t>Vertretbar:</w:t>
      </w:r>
    </w:p>
    <w:p>
      <w:pPr>
        <w:pStyle w:val="ListBullet"/>
      </w:pPr>
      <w:r>
        <w:t>Ein 14-Jähriger kennt die allgemeine Rechtswidrigkeit des illegalen Downloads und handelt eigenverantwortlich (§ 828 Abs. 3 BGB: Einsichtsfähigkeit bei 14-Jährigen vermutet)</w:t>
      </w:r>
    </w:p>
    <w:p>
      <w:pPr>
        <w:pStyle w:val="ListBullet"/>
      </w:pPr>
      <w:r>
        <w:t>Die BGH-Linie stellt auf die normale kindliche Entwicklung ab und verlangt keine technische Detailbelehrung</w:t>
      </w:r>
    </w:p>
    <w:p>
      <w:pPr>
        <w:pStyle w:val="ListBullet"/>
      </w:pPr>
      <w:r>
        <w:t>Das LG Hamburg und das AG München haben in vergleichbaren Fällen die sekundäre Darlegungslast als erfüllt angesehen, wenn ein Jugendlicher als Alternativtäter benannt wird</w:t>
      </w:r>
    </w:p>
    <w:p>
      <w:pPr>
        <w:jc w:val="left"/>
      </w:pPr>
      <w:r>
        <w:rPr>
          <w:b/>
        </w:rPr>
        <w:t>AG München, Urteil vom 19.03.2015 — 155 C 32596/14:</w:t>
      </w:r>
      <w:r>
        <w:t xml:space="preserve"> In einem nahezu identischen Fall (15-jähriger Sohn, BitTorrent, allgemeine Belehrung der Eltern) hat das AG München die Haftung der Anschlussinhaberin verneint, da die sekundäre Darlegungslast durch Benennung des Sohnes als Alternativtäter erfüllt war.</w:t>
      </w:r>
    </w:p>
    <w:p/>
    <w:p>
      <w:pPr>
        <w:pStyle w:val="Heading2"/>
      </w:pPr>
      <w:r>
        <w:rPr>
          <w:rFonts w:ascii="Times New Roman" w:hAnsi="Times New Roman"/>
        </w:rPr>
        <w:t>III. Handlungsempfehlung</w:t>
      </w:r>
    </w:p>
    <w:p>
      <w:pPr>
        <w:pStyle w:val="ListNumber"/>
      </w:pPr>
      <w:r>
        <w:t>In der modifizierten Ü wird Felix als Alternativtäter benannt — ohne ihn namentlich in einem Schriftsatz zu identifizieren (Minderjährigenschutz nach § 61 SGB VIII analog; zumindest: nur Initialen oder „Familienmitglied" in Außenschriftsätzen).</w:t>
      </w:r>
    </w:p>
    <w:p>
      <w:pPr>
        <w:pStyle w:val="ListNumber"/>
      </w:pPr>
      <w:r>
        <w:t>Mira Windgassen soll schriftlich (Eigennotiz, datiert) festhalten, welche Belehrung wann stattgefunden hat.</w:t>
      </w:r>
    </w:p>
    <w:p>
      <w:pPr>
        <w:pStyle w:val="ListNumber"/>
      </w:pPr>
      <w:r>
        <w:t>Falls Quetschenpaua &amp; Kollegen klagt: Klageerwiderung mit detaillierter Darlegung der Familiensituation.</w:t>
      </w:r>
    </w:p>
    <w:p/>
    <w:p>
      <w:pPr>
        <w:pStyle w:val="Heading2"/>
      </w:pPr>
      <w:r>
        <w:rPr>
          <w:rFonts w:ascii="Times New Roman" w:hAnsi="Times New Roman"/>
        </w:rPr>
        <w:t>IV. Mögliche Vereinbarung mit Felix</w:t>
      </w:r>
    </w:p>
    <w:p>
      <w:pPr>
        <w:jc w:val="left"/>
      </w:pPr>
      <w:r>
        <w:t>Dr. Kreidler-Bremer empfiehlt, qBittorrent und ähnliche Clients zu deinstallieren und Felix darüber zu informieren, dass er als Täter benannt wird, sofern der Fall vor Gericht geht. Keine Anzeige gegen Felix durch die Mutter (das wäre kontraproduktiv und rechtlich nicht erforderlich).</w:t>
      </w:r>
    </w:p>
    <w:p/>
    <w:p>
      <w:pPr>
        <w:jc w:val="left"/>
      </w:pPr>
      <w:r>
        <w:rPr>
          <w:i/>
        </w:rPr>
        <w:t>Dr. AKB, Diktat 23.01.2026, Reinschrift Hartenberg 24.01.2026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