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Lizenzhistorie Windgassen Photo Atelier — Übersicht</w:t>
      </w:r>
    </w:p>
    <w:p>
      <w:pPr>
        <w:jc w:val="left"/>
      </w:pPr>
      <w:r>
        <w:rPr>
          <w:b/>
        </w:rPr>
        <w:t>AZ intern:</w:t>
      </w:r>
      <w:r>
        <w:t xml:space="preserve"> 26-UMR-0084</w:t>
      </w:r>
    </w:p>
    <w:p>
      <w:pPr>
        <w:jc w:val="left"/>
      </w:pPr>
      <w:r>
        <w:rPr>
          <w:b/>
        </w:rPr>
        <w:t>Datum:</w:t>
      </w:r>
      <w:r>
        <w:t xml:space="preserve"> 22.01.2026</w:t>
      </w:r>
    </w:p>
    <w:p>
      <w:pPr>
        <w:jc w:val="left"/>
      </w:pPr>
      <w:r>
        <w:rPr>
          <w:b/>
        </w:rPr>
        <w:t>Erstellt durch:</w:t>
      </w:r>
      <w:r>
        <w:t xml:space="preserve"> Windgassen (Eigenangaben), ergänzt durch Dr. Kreidler-Bremer</w:t>
      </w:r>
    </w:p>
    <w:p>
      <w:pPr>
        <w:jc w:val="left"/>
      </w:pPr>
      <w:r>
        <w:rPr>
          <w:b/>
        </w:rPr>
        <w:t>Vollständige Tabelle:</w:t>
      </w:r>
      <w:r>
        <w:t xml:space="preserve"> </w:t>
      </w:r>
      <w:r>
        <w:t>xlsx/lizenzhistorie_windgassen_18400_bilder.xlsx</w:t>
      </w:r>
    </w:p>
    <w:p/>
    <w:p>
      <w:pPr>
        <w:pStyle w:val="Heading2"/>
      </w:pPr>
      <w:r>
        <w:rPr>
          <w:rFonts w:ascii="Times New Roman" w:hAnsi="Times New Roman"/>
        </w:rPr>
        <w:t>I. Bestandsübersicht Bildarchiv</w:t>
      </w:r>
    </w:p>
    <w:p>
      <w:pPr>
        <w:jc w:val="left"/>
      </w:pPr>
      <w:r>
        <w:t xml:space="preserve">Das Windgassen Photo Atelier verwaltet insgesamt </w:t>
      </w:r>
      <w:r>
        <w:rPr>
          <w:b/>
        </w:rPr>
        <w:t>18.400 Fotografien</w:t>
      </w:r>
      <w:r>
        <w:t xml:space="preserve"> (Stand: Dezember 2025), aufgeteilt nach Verwertungskategorien: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Bilder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Zeitschriften-Reportagen (lizenziert, Erstveröffentlichung)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22,8 %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 lizenziert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Editorial (Einzellizenz, diverse Medien)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15,2 %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 lizenziert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Buchpublikationen / Bildbände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Lizenziert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Eigenverwertung (Portfolio-Website, nicht lizenziert)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Opt-out-Pflege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Archiv (nicht veröffentlicht, Rohdaten RAW)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13,4 %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öffentlich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18.400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Wichtigste Lizenz-Vertragspartner (2015–2025)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Verlag / Lizenzpartner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Verträge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Mare GmbH,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2019–2024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Zeitschrift, einmalig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Gruner + Jahr (GEO Redaktion)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2016–2023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Zeitschrift, einmalig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 Verlag Gerd Bucerius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2018–2025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Zeitschrift + Online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Verlagshaus Jaumann (Brigitte)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2020–2024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Zeitschrift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Prestel Verlag (Bildband)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Buchveröffentlichung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DPA Picture Alliance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2019–2021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laif Agentur für Photos &amp; Reportagen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seit 2015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Agenturvertrag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Einzellizenz-Kunden (diverse)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2015–2025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Einzel-/Kampagnen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Kennzahlen Lizenzumsatz (2021–2025)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Lizenzumsatz (EUR, 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Lizenzverträge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Ø-Erlös/Vertrag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48.200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1.555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1.871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54.300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2025 (vorl.)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49.100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2.232</w:t>
            </w:r>
          </w:p>
        </w:tc>
      </w:tr>
    </w:tbl>
    <w:p>
      <w:pPr>
        <w:jc w:val="left"/>
      </w:pPr>
      <w:r>
        <w:rPr>
          <w:i/>
        </w:rPr>
        <w:t>Rückgang 2024/2025 auffällig: Windgassen führt dies u.a. auf verstärkte Nutzung von KI-Bildern durch Verlagspartner zurück.</w:t>
      </w:r>
    </w:p>
    <w:p/>
    <w:p>
      <w:pPr>
        <w:pStyle w:val="Heading2"/>
      </w:pPr>
      <w:r>
        <w:rPr>
          <w:rFonts w:ascii="Times New Roman" w:hAnsi="Times New Roman"/>
        </w:rPr>
        <w:t>IV. Bilder mit robots.txt / ai.txt Opt-out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Opt-out-Maßnahme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Gültig seit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Betroffene Bilder (ca.)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robots.txt </w:t>
            </w:r>
            <w:r>
              <w:rPr>
                <w:rFonts w:ascii="Times New Roman" w:hAnsi="Times New Roman"/>
                <w:sz w:val="20"/>
              </w:rPr>
              <w:t>/portfolio/</w:t>
            </w:r>
            <w:r>
              <w:rPr>
                <w:rFonts w:ascii="Times New Roman" w:hAnsi="Times New Roman"/>
                <w:sz w:val="20"/>
              </w:rPr>
              <w:t xml:space="preserve"> gesperrt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Juni 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 Portfolio-Bilder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ai.txt (vollständig)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öffentl. Bilder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IPTC-Keywords „No AI Training"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8.000 von 10.760 öffentl.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/wp-content/uploads/</w:t>
            </w:r>
            <w:r>
              <w:rPr>
                <w:rFonts w:ascii="Times New Roman" w:hAnsi="Times New Roman"/>
                <w:sz w:val="20"/>
              </w:rPr>
              <w:t xml:space="preserve"> gesperrt in robots.txt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Noch nicht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(Lücke!)</w:t>
            </w:r>
          </w:p>
        </w:tc>
      </w:tr>
    </w:tbl>
    <w:p>
      <w:pPr>
        <w:jc w:val="left"/>
      </w:pPr>
      <w:r>
        <w:rPr>
          <w:b/>
        </w:rPr>
        <w:t>Kritische Lücke:</w:t>
      </w:r>
      <w:r>
        <w:t xml:space="preserve"> Die Bilddateien unter </w:t>
      </w:r>
      <w:r>
        <w:t>/wp-content/uploads/</w:t>
      </w:r>
      <w:r>
        <w:t xml:space="preserve"> waren bis mindestens Oktober 2023 durch keine Maßnahme gegen KI-Abrufwerkzeuge geschützt — dies ist die zentrale Schwachstelle für die ImagineArt-Klage.</w:t>
      </w:r>
    </w:p>
    <w:p/>
    <w:p>
      <w:pPr>
        <w:jc w:val="left"/>
      </w:pPr>
      <w:r>
        <w:rPr>
          <w:i/>
        </w:rPr>
        <w:t>Detaillierte Tabelle: `xlsx/lizenzhistorie_windgassen_18400_bilder.xlsx`</w:t>
      </w:r>
    </w:p>
    <w:p>
      <w:pPr>
        <w:jc w:val="left"/>
      </w:pPr>
      <w:r>
        <w:rPr>
          <w:i/>
        </w:rPr>
        <w:t>Dr. AKB, 22.01.2026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