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Recherche: ImagineArt Inc. — Gesellschaftssitz, Haftung, US-Rechtslage</w:t>
      </w:r>
    </w:p>
    <w:p>
      <w:pPr>
        <w:jc w:val="left"/>
      </w:pPr>
      <w:r>
        <w:rPr>
          <w:b/>
        </w:rPr>
        <w:t>AZ intern:</w:t>
      </w:r>
      <w:r>
        <w:t xml:space="preserve"> 26-UMR-0084 / Teilakte ImagineArt</w:t>
      </w:r>
    </w:p>
    <w:p>
      <w:pPr>
        <w:jc w:val="left"/>
      </w:pPr>
      <w:r>
        <w:rPr>
          <w:b/>
        </w:rPr>
        <w:t>Datum:</w:t>
      </w:r>
      <w:r>
        <w:t xml:space="preserve"> 25.01.2026</w:t>
      </w:r>
    </w:p>
    <w:p>
      <w:pPr>
        <w:jc w:val="left"/>
      </w:pPr>
      <w:r>
        <w:rPr>
          <w:b/>
        </w:rPr>
        <w:t>Bearbeiterin:</w:t>
      </w:r>
      <w:r>
        <w:t xml:space="preserve"> Dr. Kreidler-Bremer</w:t>
      </w:r>
    </w:p>
    <w:p/>
    <w:p>
      <w:pPr>
        <w:pStyle w:val="Heading2"/>
      </w:pPr>
      <w:r>
        <w:rPr>
          <w:rFonts w:ascii="Times New Roman" w:hAnsi="Times New Roman"/>
        </w:rPr>
        <w:t>I. Gesellschaft ImagineArt Inc.</w:t>
      </w:r>
    </w:p>
    <w:p>
      <w:pPr>
        <w:jc w:val="left"/>
      </w:pPr>
      <w:r>
        <w:rPr>
          <w:b/>
        </w:rPr>
        <w:t>Rechtsform:</w:t>
      </w:r>
      <w:r>
        <w:t xml:space="preserve"> Corporation (Delaware General Corporation Law)</w:t>
      </w:r>
    </w:p>
    <w:p>
      <w:pPr>
        <w:jc w:val="left"/>
      </w:pPr>
      <w:r>
        <w:rPr>
          <w:b/>
        </w:rPr>
        <w:t>Registriert:</w:t>
      </w:r>
      <w:r>
        <w:t xml:space="preserve"> Delaware, USA (Registered Agent: Corporation Service Company, 251 Little Falls Drive, Wilmington, DE 19808)</w:t>
      </w:r>
    </w:p>
    <w:p>
      <w:pPr>
        <w:jc w:val="left"/>
      </w:pPr>
      <w:r>
        <w:rPr>
          <w:b/>
        </w:rPr>
        <w:t>Geschäftssitz (operativ):</w:t>
      </w:r>
      <w:r>
        <w:t xml:space="preserve"> 3490 Mission Street, Suite 200, San Francisco, CA 94110</w:t>
      </w:r>
    </w:p>
    <w:p>
      <w:pPr>
        <w:jc w:val="left"/>
      </w:pPr>
      <w:r>
        <w:rPr>
          <w:b/>
        </w:rPr>
        <w:t>CEO:</w:t>
      </w:r>
      <w:r>
        <w:t xml:space="preserve"> Derrick Fontaine</w:t>
      </w:r>
    </w:p>
    <w:p>
      <w:pPr>
        <w:jc w:val="left"/>
      </w:pPr>
      <w:r>
        <w:rPr>
          <w:b/>
        </w:rPr>
        <w:t>Gründungsjahr:</w:t>
      </w:r>
      <w:r>
        <w:t xml:space="preserve"> 2022</w:t>
      </w:r>
    </w:p>
    <w:p>
      <w:pPr>
        <w:jc w:val="left"/>
      </w:pPr>
      <w:r>
        <w:rPr>
          <w:b/>
        </w:rPr>
        <w:t>Finanzierung:</w:t>
      </w:r>
      <w:r>
        <w:t xml:space="preserve"> Series B, 85 Mio. USD (2024, Sequoia Capital lead)</w:t>
      </w:r>
    </w:p>
    <w:p>
      <w:pPr>
        <w:jc w:val="left"/>
      </w:pPr>
      <w:r>
        <w:rPr>
          <w:b/>
        </w:rPr>
        <w:t>Umsatz (geschätzt):</w:t>
      </w:r>
      <w:r>
        <w:t xml:space="preserve"> USD 38–45 Mio./Jahr (2025, Presse)</w:t>
      </w:r>
    </w:p>
    <w:p>
      <w:pPr>
        <w:jc w:val="left"/>
      </w:pPr>
      <w:r>
        <w:rPr>
          <w:b/>
        </w:rPr>
        <w:t>Kundenzahl:</w:t>
      </w:r>
      <w:r>
        <w:t xml:space="preserve"> ca. 800.000 zahlende Abonnenten (Nov. 2025, Pressemitteilung)</w:t>
      </w:r>
    </w:p>
    <w:p/>
    <w:p>
      <w:pPr>
        <w:pStyle w:val="Heading2"/>
      </w:pPr>
      <w:r>
        <w:rPr>
          <w:rFonts w:ascii="Times New Roman" w:hAnsi="Times New Roman"/>
        </w:rPr>
        <w:t>II. Deutschlandrelevanz</w:t>
      </w:r>
    </w:p>
    <w:p>
      <w:pPr>
        <w:pStyle w:val="ListBullet"/>
      </w:pPr>
      <w:r>
        <w:t>ImagineArt Pro ist in Deutschland abrufbar (keine Geo-IP-Sperre)</w:t>
      </w:r>
    </w:p>
    <w:p>
      <w:pPr>
        <w:pStyle w:val="ListBullet"/>
      </w:pPr>
      <w:r>
        <w:t>Nutzungsbedingungen: US-amerikanisches Recht (Delaware), Gerichtsstand San Francisco</w:t>
      </w:r>
    </w:p>
    <w:p>
      <w:pPr>
        <w:pStyle w:val="ListBullet"/>
      </w:pPr>
      <w:r>
        <w:t>Kein deutsches Rechtsbüro; keine EU-Vertretung i.S.v. Art. 27 DSGVO benannt (Datenschutzmangel — relevant für parallele DSGVO-Beschwerde)</w:t>
      </w:r>
    </w:p>
    <w:p>
      <w:pPr>
        <w:pStyle w:val="ListBullet"/>
      </w:pPr>
      <w:r>
        <w:t>Eigene Domain: imagineartpro.com — registriert über GoDaddy Inc., USA</w:t>
      </w:r>
    </w:p>
    <w:p/>
    <w:p>
      <w:pPr>
        <w:pStyle w:val="Heading2"/>
      </w:pPr>
      <w:r>
        <w:rPr>
          <w:rFonts w:ascii="Times New Roman" w:hAnsi="Times New Roman"/>
        </w:rPr>
        <w:t>III. US-Parallellage</w:t>
      </w:r>
    </w:p>
    <w:p>
      <w:pPr>
        <w:jc w:val="left"/>
      </w:pPr>
      <w:r>
        <w:rPr>
          <w:b/>
        </w:rPr>
        <w:t>Getty Images v. Stability AI (SDNY):</w:t>
      </w:r>
      <w:r>
        <w:t xml:space="preserve"> Laufendes Verfahren in New York (Einreichung: 06.02.2023). Klagt auf Schadensersatz wegen unzulässiger Nutzung von Getty-Images-Fotos für KI-Training; keine abschließende Entscheidung erwartet vor Ende 2026.</w:t>
      </w:r>
    </w:p>
    <w:p>
      <w:pPr>
        <w:jc w:val="left"/>
      </w:pPr>
      <w:r>
        <w:rPr>
          <w:b/>
        </w:rPr>
        <w:t>Andersen v. Stability AI (N.D. Cal.):</w:t>
      </w:r>
      <w:r>
        <w:t xml:space="preserve"> Klage von Illustratoren gegen Stability AI, MidJourney, DeviantArt. Status: Teilweise abgewiesen, teilweise zugelassen (Urheberrechtsverletzungsansprüche zugelassen, Sonstiges abgewiesen). Zulassung des Klagevorbringens relevant für Windgassen-Sachverhalt.</w:t>
      </w:r>
    </w:p>
    <w:p>
      <w:pPr>
        <w:jc w:val="left"/>
      </w:pPr>
      <w:r>
        <w:rPr>
          <w:b/>
        </w:rPr>
        <w:t>US Copyright Act, § 107 (Fair Use):</w:t>
      </w:r>
      <w:r>
        <w:t xml:space="preserve"> Amerikanische Gerichte tendieren dazu, KI-Training als „transformative use" einzuordnen (erste Instanzen). Bedeutet: In den USA schwächere Position für Kläger als in Deutschland nach § 44b UrhG.</w:t>
      </w:r>
    </w:p>
    <w:p/>
    <w:p>
      <w:pPr>
        <w:pStyle w:val="Heading2"/>
      </w:pPr>
      <w:r>
        <w:rPr>
          <w:rFonts w:ascii="Times New Roman" w:hAnsi="Times New Roman"/>
        </w:rPr>
        <w:t>IV. Vollstreckung eines deutschen Urteils gegen ImagineArt Inc. (USA)</w:t>
      </w:r>
    </w:p>
    <w:p>
      <w:pPr>
        <w:jc w:val="left"/>
      </w:pPr>
      <w:r>
        <w:rPr>
          <w:b/>
        </w:rPr>
        <w:t>Problem:</w:t>
      </w:r>
      <w:r>
        <w:t xml:space="preserve"> Ein deutsches Urteil ist in den USA grundsätzlich nicht vollstreckbar ohne amerikanisches Anerkennungsverfahren. Die USA haben kein bilaterales Vollstreckungsabkommen mit Deutschland.</w:t>
      </w:r>
    </w:p>
    <w:p>
      <w:pPr>
        <w:jc w:val="left"/>
      </w:pPr>
      <w:r>
        <w:rPr>
          <w:b/>
        </w:rPr>
        <w:t>Optionen:</w:t>
      </w:r>
    </w:p>
    <w:p>
      <w:pPr>
        <w:pStyle w:val="ListNumber"/>
      </w:pPr>
      <w:r>
        <w:t>Klage in den USA parallel (US-Anwalt, hohe Kosten)</w:t>
      </w:r>
    </w:p>
    <w:p>
      <w:pPr>
        <w:pStyle w:val="ListNumber"/>
      </w:pPr>
      <w:r>
        <w:t>Vollstreckung über US-Konten oder Vermögenswerte in Deutschland (unklar, ob vorhanden)</w:t>
      </w:r>
    </w:p>
    <w:p>
      <w:pPr>
        <w:pStyle w:val="ListNumber"/>
      </w:pPr>
      <w:r>
        <w:t>Reputationsschaden durch deutsches Urteil (mittelbare Wirkung: ImagineArt müsste dann Deutschland aus Dienst ausschließen)</w:t>
      </w:r>
    </w:p>
    <w:p>
      <w:pPr>
        <w:pStyle w:val="ListNumber"/>
      </w:pPr>
      <w:r>
        <w:t>Einstweilige Verfügung LG Hamburg: Kann die Nutzung des Dienstes in Deutschland verbieten (Durchsetzung über Netzsperren fraglich)</w:t>
      </w:r>
    </w:p>
    <w:p>
      <w:pPr>
        <w:jc w:val="left"/>
      </w:pPr>
      <w:r>
        <w:rPr>
          <w:b/>
        </w:rPr>
        <w:t>Empfehlung:</w:t>
      </w:r>
      <w:r>
        <w:t xml:space="preserve"> Klage LG Hamburg als strategischen Präzedenzfall führen; Vollstreckungsziel ist zweitrangig. Der Haupteffekt ist: Präjudiz + Öffentlichkeit + Druck auf Vergleich.</w:t>
      </w:r>
    </w:p>
    <w:p/>
    <w:p>
      <w:pPr>
        <w:pStyle w:val="Heading2"/>
      </w:pPr>
      <w:r>
        <w:rPr>
          <w:rFonts w:ascii="Times New Roman" w:hAnsi="Times New Roman"/>
        </w:rPr>
        <w:t>V. US-Anwalt</w:t>
      </w:r>
    </w:p>
    <w:p>
      <w:pPr>
        <w:jc w:val="left"/>
      </w:pPr>
      <w:r>
        <w:t>Dr. Kreidler-Bremer hat Kontakt aufgenommen zu:</w:t>
      </w:r>
    </w:p>
    <w:p>
      <w:pPr>
        <w:pStyle w:val="ListBullet"/>
      </w:pPr>
      <w:r>
        <w:rPr>
          <w:b/>
        </w:rPr>
        <w:t>Kanzlei Wheeler Trigg O'Donnell LLP, San Francisco</w:t>
      </w:r>
      <w:r>
        <w:t xml:space="preserve"> (auf Empfehlung DAV-Auslandsrechtsausschuss)</w:t>
      </w:r>
    </w:p>
    <w:p>
      <w:pPr>
        <w:pStyle w:val="ListBullet"/>
      </w:pPr>
      <w:r>
        <w:t>Erstkontakt per E-Mail am 20.01.2026; Rückmeldung ausstehend</w:t>
      </w:r>
    </w:p>
    <w:p/>
    <w:p>
      <w:pPr>
        <w:jc w:val="left"/>
      </w:pPr>
      <w:r>
        <w:rPr>
          <w:i/>
        </w:rPr>
        <w:t>Dr. AKB, 25.01.2026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