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Kostenübersicht und Honorarabrechnung — AZ 26-UMR-0084</w:t>
      </w:r>
    </w:p>
    <w:p>
      <w:pPr>
        <w:jc w:val="left"/>
      </w:pPr>
      <w:r>
        <w:rPr>
          <w:b/>
        </w:rPr>
        <w:t>Stand:</w:t>
      </w:r>
      <w:r>
        <w:t xml:space="preserve"> 27.01.2026</w:t>
      </w:r>
    </w:p>
    <w:p>
      <w:pPr>
        <w:jc w:val="left"/>
      </w:pPr>
      <w:r>
        <w:rPr>
          <w:b/>
        </w:rPr>
        <w:t>Kanzlei:</w:t>
      </w:r>
      <w:r>
        <w:t xml:space="preserve"> Kreidler-Bremer Medienrecht</w:t>
      </w:r>
    </w:p>
    <w:p>
      <w:pPr>
        <w:jc w:val="left"/>
      </w:pPr>
      <w:r>
        <w:rPr>
          <w:b/>
        </w:rPr>
        <w:t>Mandantin:</w:t>
      </w:r>
      <w:r>
        <w:t xml:space="preserve"> Mira Windgassen</w:t>
      </w:r>
    </w:p>
    <w:p/>
    <w:p>
      <w:pPr>
        <w:pStyle w:val="Heading2"/>
      </w:pPr>
      <w:r>
        <w:rPr>
          <w:rFonts w:ascii="Times New Roman" w:hAnsi="Times New Roman"/>
        </w:rPr>
        <w:t>I. Geleistete Arbeit (bis 27.01.2026)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Stundensatz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(netto)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Erstgespräch + Interessenkonfliktprüfung + Mandatsannahme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950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Diktat Aktennotiz Erstgespräch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Aktenstudium Quetschenpaua &amp; Kollegen-Abmahnung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Beauftragung IT-Forensik Barkhoff; Anfrage Hetzner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0,8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304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Rechtsgutachten § 44b UrhG (Entwurf 12 Seiten)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1.330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Bewertung Filesharing-Abmahnung; Mod.-Ü-Entwurf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Bearbeitungsrecht Lia Windgassen — Memo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Auswertung Serverlog-Analyse Barkhoff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570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Gegendarstellungsentwurf EWA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570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Telefonat Windgassen (Felix-Darlegungslast)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Lizenzvertrag-Analyse Mare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Schadensberechnung KI-Training; Klagestrategie LG HH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Sachverständigen-Anfrage Prof. Felber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0,5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Recherche ImagineArt Inc. + US-Parallellage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Bild-Kunst Tarifstreit — Memo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Mandantenschreiben Zwischenbericht (Entwurf)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1,0 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 bis 27.01.2026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24,8 Std.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9.234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Auslagen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(netto)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IT-Forensik Barkhoff (Abschlagszahlung)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Portokosten Schreiben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14,80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DPMA-Schiedsstelle Eintragungs-Gebühr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Herstellung Serverlog-PDF-Scan (Hetzner)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Auslagen 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2.159,80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Vorschuss-Verrechnung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Vorschuss eingegangen 16.01.2026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Honorar bis 27.01.2026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9.234,00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+ 19 % MwSt.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1.754,46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= Honorar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10.988,46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Auslagen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2.159,80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+ 19 % MwSt. auf Auslagen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410,36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= 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13.558,62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Vorschuss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Offener 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8.558,62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Kostenschätzung: Verbleibende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Geschätzte Gesamtkosten (eigene Kanzlei, 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Gerichtskosten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 Gegnerkosten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Filesharing (wenn Klage kommt, AG München)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Gegendarstellung (wenn eV nötig, LG Hamburg)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ImagineArt-Klage LG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12.000–15.000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3.612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7.400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Lizenzstreit Mare (außergerichtlich)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Schiedsstelle DPMA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jc w:val="left"/>
      </w:pPr>
      <w:r>
        <w:rPr>
          <w:i/>
        </w:rPr>
        <w:t>Erste Rechnung wird nach Abschluss der Fristmaßnahmen (31.01.2026) gestellt.</w:t>
      </w:r>
    </w:p>
    <w:p>
      <w:pPr>
        <w:jc w:val="left"/>
      </w:pPr>
      <w:r>
        <w:rPr>
          <w:i/>
        </w:rPr>
        <w:t>Hartenberg/Kreidler-Bremer — 27.01.2026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