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02 — Systembeschreibung MedAssist v4</w:t>
      </w:r>
    </w:p>
    <w:p>
      <w:pPr>
        <w:jc w:val="left"/>
      </w:pPr>
      <w:r>
        <w:rPr>
          <w:b/>
        </w:rPr>
        <w:t>Aktenzeichen:</w:t>
      </w:r>
      <w:r>
        <w:t xml:space="preserve"> 2026-V-0427</w:t>
      </w:r>
    </w:p>
    <w:p>
      <w:pPr>
        <w:jc w:val="left"/>
      </w:pPr>
      <w:r>
        <w:rPr>
          <w:b/>
        </w:rPr>
        <w:t>Erstellt:</w:t>
      </w:r>
      <w:r>
        <w:t xml:space="preserve"> 12.03.2026 (nach Übermittlung technischer Unterlagen durch CTO Krishnamurthy)</w:t>
      </w:r>
    </w:p>
    <w:p>
      <w:pPr>
        <w:jc w:val="left"/>
      </w:pPr>
      <w:r>
        <w:rPr>
          <w:b/>
        </w:rPr>
        <w:t>Bearbeitung:</w:t>
      </w:r>
      <w:r>
        <w:t xml:space="preserve"> RA Dr. Mark Roosendaal</w:t>
      </w:r>
    </w:p>
    <w:p>
      <w:pPr>
        <w:jc w:val="left"/>
      </w:pPr>
      <w:r>
        <w:rPr>
          <w:b/>
        </w:rPr>
        <w:t>Grundlage:</w:t>
      </w:r>
      <w:r>
        <w:t xml:space="preserve"> Technische Dokumentation MedAssist v4, Version 2.3 (interne Kennung: MA-TECH-DOC-2024-v4.2.3), übermittelt 08.03.2026</w:t>
      </w:r>
    </w:p>
    <w:p/>
    <w:p>
      <w:pPr>
        <w:pStyle w:val="Heading2"/>
      </w:pPr>
      <w:r>
        <w:rPr>
          <w:rFonts w:ascii="Times New Roman" w:hAnsi="Times New Roman"/>
        </w:rPr>
        <w:t>1. Systemidentität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Angabe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Systemname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MedAssist v4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Versionsnummer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4.2.3 (Produktionsstand 18 Krankenhäuser)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Interne Kennung Anbieter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MA-SYS-2023-001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Anbieter (Art. 3 Nr. 3 KI-VO)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MedAssist AI GmbH, Im Neuenheimer Feld 580, 69120 Heidelberg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Verwendungszweck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Automatisierte Notrufdisposition in Krankenhäusern — Klassifikation eingehender Notrufe, Dringlichkeitspriorisierung, Ressourcenzuweisung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Einsatzbereich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Notaufnahme-Leitstellen, Rettungskoordinationszentren in Krankenhäusern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Aktuelle Deployments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 Krankenhäuser in BW (12) und Bayern (6); Standorte s. Anhang A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Sprache (System)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Deutsch, mit begrenzter Englisch-Unterstützung (Notfallkommunikation)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Entwicklungszeitraum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2021–2023 (v4); kontinuierliche Updates seit 2023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Systemarchitektur</w:t>
      </w:r>
    </w:p>
    <w:p>
      <w:pPr>
        <w:jc w:val="left"/>
      </w:pPr>
      <w:r>
        <w:t>MedAssist v4 besteht aus drei Hauptkomponenten, die über eine interne REST-API miteinander kommunizieren:</w:t>
      </w:r>
    </w:p>
    <w:p>
      <w:pPr>
        <w:pStyle w:val="Heading3"/>
      </w:pPr>
      <w:r>
        <w:rPr>
          <w:rFonts w:ascii="Times New Roman" w:hAnsi="Times New Roman"/>
        </w:rPr>
        <w:t>2.1 Sprachverarbeitungsmodul (NLU)</w:t>
      </w:r>
    </w:p>
    <w:p>
      <w:pPr>
        <w:pStyle w:val="ListBullet"/>
      </w:pPr>
      <w:r>
        <w:rPr>
          <w:b/>
        </w:rPr>
        <w:t>Funktion:</w:t>
      </w:r>
      <w:r>
        <w:t xml:space="preserve"> Echtzeit-Transkription und Semantikanalyse eingehender Notrufe</w:t>
      </w:r>
    </w:p>
    <w:p>
      <w:pPr>
        <w:pStyle w:val="ListBullet"/>
      </w:pPr>
      <w:r>
        <w:rPr>
          <w:b/>
        </w:rPr>
        <w:t>Basis:</w:t>
      </w:r>
      <w:r>
        <w:t xml:space="preserve"> Llama-3.1-70B-Instruct, fine-tuned auf medizinischen Notfalldatensatz (s. Aktenstück 05)</w:t>
      </w:r>
    </w:p>
    <w:p>
      <w:pPr>
        <w:pStyle w:val="ListBullet"/>
      </w:pPr>
      <w:r>
        <w:rPr>
          <w:b/>
        </w:rPr>
        <w:t>Bezeichnung intern:</w:t>
      </w:r>
      <w:r>
        <w:t xml:space="preserve"> „MedAssist-LLM-Core v4"</w:t>
      </w:r>
    </w:p>
    <w:p>
      <w:pPr>
        <w:pStyle w:val="ListBullet"/>
      </w:pPr>
      <w:r>
        <w:rPr>
          <w:b/>
        </w:rPr>
        <w:t>GPAI-Status:</w:t>
      </w:r>
      <w:r>
        <w:t xml:space="preserve"> Die Llama-Adaptation stellt eine GPAI-Modell-Nutzung i.S.d. Art. 3 Nr. 63 KI-VO dar; Anbieter-Dokumentation nach Art. 53 KI-VO ausstehend (s. Aktenstück 19)</w:t>
      </w:r>
    </w:p>
    <w:p>
      <w:pPr>
        <w:pStyle w:val="ListBullet"/>
      </w:pPr>
      <w:r>
        <w:rPr>
          <w:b/>
        </w:rPr>
        <w:t>Latenz:</w:t>
      </w:r>
      <w:r>
        <w:t xml:space="preserve"> &lt; 800 ms für Transkription/Klassifikation</w:t>
      </w:r>
    </w:p>
    <w:p>
      <w:pPr>
        <w:pStyle w:val="ListBullet"/>
      </w:pPr>
      <w:r>
        <w:rPr>
          <w:b/>
        </w:rPr>
        <w:t>Ausgabe:</w:t>
      </w:r>
      <w:r>
        <w:t xml:space="preserve"> Strukturierter JSON-Datensatz mit Dringlichkeitsstufe (1–5), erkannter Kategorie (Herznotfall, Trauma, pädiatrisch, psychiatrisch, sonstig), Konfidenzwert (0–1)</w:t>
      </w:r>
    </w:p>
    <w:p>
      <w:pPr>
        <w:pStyle w:val="Heading3"/>
      </w:pPr>
      <w:r>
        <w:rPr>
          <w:rFonts w:ascii="Times New Roman" w:hAnsi="Times New Roman"/>
        </w:rPr>
        <w:t>2.2 Dispositionsmodul (DEM)</w:t>
      </w:r>
    </w:p>
    <w:p>
      <w:pPr>
        <w:pStyle w:val="ListBullet"/>
      </w:pPr>
      <w:r>
        <w:rPr>
          <w:b/>
        </w:rPr>
        <w:t>Funktion:</w:t>
      </w:r>
      <w:r>
        <w:t xml:space="preserve"> Zuweisung verfügbarer Notfallressourcen basierend auf NLU-Ausgabe, Echtzeit-Kapazitätsdaten der Stationen und historischen Verfügbarkeitsprofilen</w:t>
      </w:r>
    </w:p>
    <w:p>
      <w:pPr>
        <w:pStyle w:val="ListBullet"/>
      </w:pPr>
      <w:r>
        <w:rPr>
          <w:b/>
        </w:rPr>
        <w:t>Methode:</w:t>
      </w:r>
      <w:r>
        <w:t xml:space="preserve"> Gradient Boosting (XGBoost v2.0), trainiert auf 3 Jahre Krankenhausdaten (2020–2023)</w:t>
      </w:r>
    </w:p>
    <w:p>
      <w:pPr>
        <w:pStyle w:val="ListBullet"/>
      </w:pPr>
      <w:r>
        <w:rPr>
          <w:b/>
        </w:rPr>
        <w:t>Ausgabe:</w:t>
      </w:r>
      <w:r>
        <w:t xml:space="preserve"> Empfohlene Ressourcenzuweisung mit Konfidenzwert und alternativen Optionen (Top-3)</w:t>
      </w:r>
    </w:p>
    <w:p>
      <w:pPr>
        <w:pStyle w:val="ListBullet"/>
      </w:pPr>
      <w:r>
        <w:rPr>
          <w:b/>
        </w:rPr>
        <w:t>Menschliche Schnittstelle:</w:t>
      </w:r>
      <w:r>
        <w:t xml:space="preserve"> Vorschlag wird im Leitstellen-Dashboard angezeigt; Übernahme-Button durch Disponent erforderlich (konzeptionell)</w:t>
      </w:r>
    </w:p>
    <w:p>
      <w:pPr>
        <w:pStyle w:val="Heading3"/>
      </w:pPr>
      <w:r>
        <w:rPr>
          <w:rFonts w:ascii="Times New Roman" w:hAnsi="Times New Roman"/>
        </w:rPr>
        <w:t>2.3 Audit-Trail-Modul (ATM)</w:t>
      </w:r>
    </w:p>
    <w:p>
      <w:pPr>
        <w:pStyle w:val="ListBullet"/>
      </w:pPr>
      <w:r>
        <w:rPr>
          <w:b/>
        </w:rPr>
        <w:t>Funktion:</w:t>
      </w:r>
      <w:r>
        <w:t xml:space="preserve"> Protokollierung aller Systemereignisse (Eingabe, Klassifikation, Disposition, Bedieneraktion, Zeitstempel)</w:t>
      </w:r>
    </w:p>
    <w:p>
      <w:pPr>
        <w:pStyle w:val="ListBullet"/>
      </w:pPr>
      <w:r>
        <w:rPr>
          <w:b/>
        </w:rPr>
        <w:t>Datenhaltung:</w:t>
      </w:r>
      <w:r>
        <w:t xml:space="preserve"> 5 Jahre (intern definiert), verschlüsselt auf Klinikum-Infrastruktur</w:t>
      </w:r>
    </w:p>
    <w:p>
      <w:pPr>
        <w:pStyle w:val="ListBullet"/>
      </w:pPr>
      <w:r>
        <w:rPr>
          <w:b/>
        </w:rPr>
        <w:t>Schnittstelle:</w:t>
      </w:r>
      <w:r>
        <w:t xml:space="preserve"> Export-API für Behördenanfragen (BNetzA, BfArM)</w:t>
      </w:r>
    </w:p>
    <w:p/>
    <w:p>
      <w:pPr>
        <w:pStyle w:val="Heading2"/>
      </w:pPr>
      <w:r>
        <w:rPr>
          <w:rFonts w:ascii="Times New Roman" w:hAnsi="Times New Roman"/>
        </w:rPr>
        <w:t>3. Datenfluss (vereinfacht)</w:t>
      </w:r>
    </w:p>
    <w:p>
      <w:pPr>
        <w:jc w:val="left"/>
      </w:pPr>
      <w:r>
        <w:t>```</w:t>
      </w:r>
    </w:p>
    <w:p>
      <w:pPr>
        <w:jc w:val="left"/>
      </w:pPr>
      <w:r>
        <w:t>Eingehender Notruf (Audio)</w:t>
      </w:r>
    </w:p>
    <w:p>
      <w:pPr>
        <w:jc w:val="left"/>
      </w:pPr>
      <w:r>
        <w:t>↓</w:t>
      </w:r>
    </w:p>
    <w:p>
      <w:pPr>
        <w:jc w:val="left"/>
      </w:pPr>
      <w:r>
        <w:t>NLU-Modul (Llama-Adaptation)</w:t>
      </w:r>
    </w:p>
    <w:p>
      <w:pPr>
        <w:jc w:val="left"/>
      </w:pPr>
      <w:r>
        <w:t>— Transkription</w:t>
      </w:r>
    </w:p>
    <w:p>
      <w:pPr>
        <w:jc w:val="left"/>
      </w:pPr>
      <w:r>
        <w:t>— Klassifikation (Dringlichkeit, Kategorie, Konfidenz)</w:t>
      </w:r>
    </w:p>
    <w:p>
      <w:pPr>
        <w:jc w:val="left"/>
      </w:pPr>
      <w:r>
        <w:t>↓</w:t>
      </w:r>
    </w:p>
    <w:p>
      <w:pPr>
        <w:jc w:val="left"/>
      </w:pPr>
      <w:r>
        <w:t>Dispositionsmodul (XGBoost)</w:t>
      </w:r>
    </w:p>
    <w:p>
      <w:pPr>
        <w:jc w:val="left"/>
      </w:pPr>
      <w:r>
        <w:t>— Kapazitätsabgleich Echtzeitdaten</w:t>
      </w:r>
    </w:p>
    <w:p>
      <w:pPr>
        <w:jc w:val="left"/>
      </w:pPr>
      <w:r>
        <w:t>— Top-3-Empfehlung</w:t>
      </w:r>
    </w:p>
    <w:p>
      <w:pPr>
        <w:jc w:val="left"/>
      </w:pPr>
      <w:r>
        <w:t>↓</w:t>
      </w:r>
    </w:p>
    <w:p>
      <w:pPr>
        <w:jc w:val="left"/>
      </w:pPr>
      <w:r>
        <w:t>Leitstellen-Dashboard</w:t>
      </w:r>
    </w:p>
    <w:p>
      <w:pPr>
        <w:jc w:val="left"/>
      </w:pPr>
      <w:r>
        <w:t>— Anzeige Empfehlung</w:t>
      </w:r>
    </w:p>
    <w:p>
      <w:pPr>
        <w:jc w:val="left"/>
      </w:pPr>
      <w:r>
        <w:t>— [Disponent: Übernahme / Ablehnung]  ← kritische Aufsichtslücke (Art. 14)</w:t>
      </w:r>
    </w:p>
    <w:p>
      <w:pPr>
        <w:jc w:val="left"/>
      </w:pPr>
      <w:r>
        <w:t>↓</w:t>
      </w:r>
    </w:p>
    <w:p>
      <w:pPr>
        <w:jc w:val="left"/>
      </w:pPr>
      <w:r>
        <w:t>Audit-Trail-Modul</w:t>
      </w:r>
    </w:p>
    <w:p>
      <w:pPr>
        <w:jc w:val="left"/>
      </w:pPr>
      <w:r>
        <w:t>— Protokollierung</w:t>
      </w:r>
    </w:p>
    <w:p>
      <w:pPr>
        <w:jc w:val="left"/>
      </w:pPr>
      <w:r>
        <w:t>```</w:t>
      </w:r>
    </w:p>
    <w:p>
      <w:pPr>
        <w:jc w:val="left"/>
      </w:pPr>
      <w:r>
        <w:rPr>
          <w:b/>
        </w:rPr>
        <w:t>Feststellung:</w:t>
      </w:r>
      <w:r>
        <w:t xml:space="preserve"> Das Übernahme-Interface ist in der aktuellen Produktionsversion 4.2.3 nicht vollständig implementiert. In 14 der 18 Krankenhäuser übernehmen Disponenten die Empfehlung ohne explizite Bestätigung im System — es fehlt ein erzwungener Quittierungsschritt (s. Aktenstück 09, Art. 14-Befund).</w:t>
      </w:r>
    </w:p>
    <w:p/>
    <w:p>
      <w:pPr>
        <w:pStyle w:val="Heading2"/>
      </w:pPr>
      <w:r>
        <w:rPr>
          <w:rFonts w:ascii="Times New Roman" w:hAnsi="Times New Roman"/>
        </w:rPr>
        <w:t>4. Trainingsdaten (Überblick)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Datensatz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Herkunft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Umfang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Repräsentativitätsdokumentation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MIMIC-IV Emergency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PhysioNet (US), MIT/BIDMC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430.000 Notfallprotokolle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2008–2019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DE-spezifische Validierung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NEMSIS 3.5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NHTSA (US)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2,1 Mio. EMS-Datensätze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2019–2022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Keine EU-Anpassung dokumentiert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Klinikinterne Trainingsdaten (anonymisiert)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 Partnerkliniken BW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ca. 18.000 Einsatzprotokolle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2021–2023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Begrenzte Repräsentativität</w:t>
            </w:r>
          </w:p>
        </w:tc>
      </w:tr>
    </w:tbl>
    <w:p>
      <w:pPr>
        <w:jc w:val="left"/>
      </w:pPr>
      <w:r>
        <w:rPr>
          <w:b/>
        </w:rPr>
        <w:t>Kernproblem:</w:t>
      </w:r>
      <w:r>
        <w:t xml:space="preserve"> Die US-amerikanischen Datensätze (MIMIC-IV, NEMSIS) sind dominant und weisen strukturelle Unterschiede zum deutschen Rettungsdienstsystem auf (andere Klassifikationsschemata, abweichende Ressourcentypen, US-spezifische Terminologie). Eine dokumentierte Repräsentativitätsprüfung für den deutschen Einsatzkontext fehlt, was Art. 10 Abs. 2 lit. f KI-VO verletzt (s. Aktenstück 05).</w:t>
      </w:r>
    </w:p>
    <w:p/>
    <w:p>
      <w:pPr>
        <w:pStyle w:val="Heading2"/>
      </w:pPr>
      <w:r>
        <w:rPr>
          <w:rFonts w:ascii="Times New Roman" w:hAnsi="Times New Roman"/>
        </w:rPr>
        <w:t>5. Technische Leistungsparameter (nach internem Testbericht MA-EVAL-2024-03)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Metrik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Accuracy (Dringlichkeitsstufe, gesamt)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84,3 %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Unzureichend für klinischen Einsatz bei Fehlen menschlicher Aufsicht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Recall Dringlichkeit 1 (lebensbedrohlich)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91,2 %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Positiv, aber Fehlerrate bei 8,8 % 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False-Negative-Rate Dringlichkeit 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8,8 %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Hochriskant: jede 11. lebensbedrohliche Lage wird unterklassifiziert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Accuracy Kategorisierung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78,6 %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Ungenügend, v.a. psychiatrische Notfälle (62,1 %)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Latenz 95. Perzentile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1.240 ms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Überschreitet internen Zielwert (&lt; 800 ms) unter Last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Bias-Kennzahl (Geschlecht)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erhoben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Verstoß Art. 10 Abs. 2 lit. g KI-VO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Bias-Kennzahl (Alter)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erhoben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Verstoß Art. 10 Abs. 2 lit. g KI-VO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Einsatzumgebung</w:t>
      </w:r>
    </w:p>
    <w:p>
      <w:pPr>
        <w:jc w:val="left"/>
      </w:pPr>
      <w:r>
        <w:t>MedAssist v4 wird auf klinikkumseitiger On-Premises-Infrastruktur betrieben. Jede Klinik hostet eine lokale Instanz; Updates werden zentral durch MedAssist AI GmbH eingespielt (Remote-Deployment-Kapazität). Die lokalen Instanzen kommunizieren nicht miteinander; Trainingsdaten werden klinikkumseitig nicht zurückgespiegelt.</w:t>
      </w:r>
    </w:p>
    <w:p>
      <w:pPr>
        <w:jc w:val="left"/>
      </w:pPr>
      <w:r>
        <w:rPr>
          <w:b/>
        </w:rPr>
        <w:t>Datenschutzrechtliche Einordnung:</w:t>
      </w:r>
      <w:r>
        <w:t xml:space="preserve"> Jede Klinik ist Verantwortliche i.S.d. Art. 4 Nr. 7 DSGVO für die verarbeiteten Patientendaten; MedAssist AI GmbH ist Auftragsverarbeiterin i.S.d. Art. 4 Nr. 8 DSGVO. Auftragsverarbeitungsverträge gemäß Art. 28 DSGVO liegen laut Angabe des Mandanten vor, wurden jedoch noch nicht auf KI-VO-Konformität geprüft.</w:t>
      </w:r>
    </w:p>
    <w:p/>
    <w:p>
      <w:pPr>
        <w:pStyle w:val="Heading2"/>
      </w:pPr>
      <w:r>
        <w:rPr>
          <w:rFonts w:ascii="Times New Roman" w:hAnsi="Times New Roman"/>
        </w:rPr>
        <w:t>7. Bewertungsstand Aktenstück 02</w:t>
      </w:r>
    </w:p>
    <w:p>
      <w:pPr>
        <w:jc w:val="left"/>
      </w:pPr>
      <w:r>
        <w:t>Dieses Aktenstück fasst die von MedAssist AI GmbH übermittelte technische Dokumentation zusammen. Detailprüfungen der einzelnen Artikel-Anforderungen folgen in Aktenstücken 03–15. Die vorstehende Beschreibung stützt sich auf die technische Dokumentation v4.2.3 sowie die mündlichen Erläuterungen von CTO Krishnamurthy im Gespräch vom 08.03.2026.</w:t>
      </w:r>
    </w:p>
    <w:p/>
    <w:p>
      <w:pPr>
        <w:jc w:val="left"/>
      </w:pPr>
      <w:r>
        <w:rPr>
          <w:i/>
        </w:rPr>
        <w:t>Heidelberg, 12.03.2026</w:t>
      </w:r>
    </w:p>
    <w:p>
      <w:pPr>
        <w:jc w:val="left"/>
      </w:pPr>
      <w:r>
        <w:rPr>
          <w:i/>
        </w:rPr>
        <w:t>RA Dr. Mark Roosendaal — Az. 2026-V-0427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