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04 — Art. 9 KI-VO: Prüfung Risikomanagementsystem MedAssist v4</w:t>
      </w:r>
    </w:p>
    <w:p>
      <w:pPr>
        <w:jc w:val="left"/>
      </w:pPr>
      <w:r>
        <w:rPr>
          <w:b/>
        </w:rPr>
        <w:t>Aktenzeichen:</w:t>
      </w:r>
      <w:r>
        <w:t xml:space="preserve"> 2026-V-0427</w:t>
      </w:r>
    </w:p>
    <w:p>
      <w:pPr>
        <w:jc w:val="left"/>
      </w:pPr>
      <w:r>
        <w:rPr>
          <w:b/>
        </w:rPr>
        <w:t>Erstellt:</w:t>
      </w:r>
      <w:r>
        <w:t xml:space="preserve"> 18.03.2026</w:t>
      </w:r>
    </w:p>
    <w:p>
      <w:pPr>
        <w:jc w:val="left"/>
      </w:pPr>
      <w:r>
        <w:rPr>
          <w:b/>
        </w:rPr>
        <w:t>Bearbeitung:</w:t>
      </w:r>
      <w:r>
        <w:t xml:space="preserve"> RA Dr. Mark Roosendaal</w:t>
      </w:r>
    </w:p>
    <w:p>
      <w:pPr>
        <w:jc w:val="left"/>
      </w:pPr>
      <w:r>
        <w:rPr>
          <w:b/>
        </w:rPr>
        <w:t>Rechtsgrundlage:</w:t>
      </w:r>
      <w:r>
        <w:t xml:space="preserve"> Art. 9 KI-VO (EU) 2024/1689</w:t>
      </w:r>
    </w:p>
    <w:p/>
    <w:p>
      <w:pPr>
        <w:pStyle w:val="Heading2"/>
      </w:pPr>
      <w:r>
        <w:rPr>
          <w:rFonts w:ascii="Times New Roman" w:hAnsi="Times New Roman"/>
        </w:rPr>
        <w:t>1. Anforderungen Art. 9 KI-VO</w:t>
      </w:r>
    </w:p>
    <w:p>
      <w:pPr>
        <w:jc w:val="left"/>
      </w:pPr>
      <w:r>
        <w:t>Art. 9 KI-VO verpflichtet Anbieter von Hochrisiko-KI-Systemen, ein Risikomanagementsystem (RMS) einzurichten, das:</w:t>
      </w:r>
    </w:p>
    <w:p>
      <w:pPr>
        <w:pStyle w:val="ListBullet"/>
      </w:pPr>
      <w:r>
        <w:t>kontinuierlich über den gesamten Lebenszyklus des Systems betrieben wird (Art. 9 Abs. 1),</w:t>
      </w:r>
    </w:p>
    <w:p>
      <w:pPr>
        <w:pStyle w:val="ListBullet"/>
      </w:pPr>
      <w:r>
        <w:t>alle Risiken identifiziert und analysiert, die durch das System entstehen können (Art. 9 Abs. 2 lit. a),</w:t>
      </w:r>
    </w:p>
    <w:p>
      <w:pPr>
        <w:pStyle w:val="ListBullet"/>
      </w:pPr>
      <w:r>
        <w:t>diese Risiken angemessen bewertet (Art. 9 Abs. 2 lit. b),</w:t>
      </w:r>
    </w:p>
    <w:p>
      <w:pPr>
        <w:pStyle w:val="ListBullet"/>
      </w:pPr>
      <w:r>
        <w:t>geeignete Risikomanagementmaßnahmen ergreift (Art. 9 Abs. 2 lit. c–d),</w:t>
      </w:r>
    </w:p>
    <w:p>
      <w:pPr>
        <w:pStyle w:val="ListBullet"/>
      </w:pPr>
      <w:r>
        <w:t>nach dem Stand der Technik und bekannten Best Practices ausgestaltet ist (Art. 9 Abs. 4),</w:t>
      </w:r>
    </w:p>
    <w:p>
      <w:pPr>
        <w:pStyle w:val="ListBullet"/>
      </w:pPr>
      <w:r>
        <w:t>Tests und Prüfungen vor Inverkehrbringen und laufend beinhaltet (Art. 9 Abs. 5 und 7),</w:t>
      </w:r>
    </w:p>
    <w:p>
      <w:pPr>
        <w:pStyle w:val="ListBullet"/>
      </w:pPr>
      <w:r>
        <w:t>Restrisiken kommuniziert (Art. 9 Abs. 6).</w:t>
      </w:r>
    </w:p>
    <w:p/>
    <w:p>
      <w:pPr>
        <w:pStyle w:val="Heading2"/>
      </w:pPr>
      <w:r>
        <w:rPr>
          <w:rFonts w:ascii="Times New Roman" w:hAnsi="Times New Roman"/>
        </w:rPr>
        <w:t>2. Vorgefundene Dokumentation des Mandanten</w:t>
      </w:r>
    </w:p>
    <w:p>
      <w:pPr>
        <w:jc w:val="left"/>
      </w:pPr>
      <w:r>
        <w:t>CTO Krishnamurthy übermittelte am 15.03.2026 folgende Unterlagen: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Risikoanalyse MedAssist v4 (intern, MA-RISK-2024-01)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März 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Veraltet, vor MDR-CE-Bewertung erstellt; nicht aktualisiert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FMEA-Dokument NLU-Modul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Oktober 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Unvollständig; fehlt Bewertung des Dispositionsmoduls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Testbericht MA-EVAL-2024-03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Dezember 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Vorhanden, enthält Accuracy-Daten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Incident-Log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 gemeldete Anomalien, davon 3 als schwerwiegend klassifiziert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Befunde</w:t>
      </w:r>
    </w:p>
    <w:p>
      <w:pPr>
        <w:pStyle w:val="Heading3"/>
      </w:pPr>
      <w:r>
        <w:rPr>
          <w:rFonts w:ascii="Times New Roman" w:hAnsi="Times New Roman"/>
        </w:rPr>
        <w:t>3.1 Fehlende Kontinuität des RMS (Art. 9 Abs. 1)</w:t>
      </w:r>
    </w:p>
    <w:p>
      <w:pPr>
        <w:jc w:val="left"/>
      </w:pPr>
      <w:r>
        <w:t>Das RMS wurde bei Markteinführung von MedAssist v4 (2023) einmalig etabliert, jedoch nicht kontinuierlich fortgeschrieben. Insbesondere:</w:t>
      </w:r>
    </w:p>
    <w:p>
      <w:pPr>
        <w:pStyle w:val="ListBullet"/>
      </w:pPr>
      <w:r>
        <w:t>Die Risikoanalyse MA-RISK-2024-01 berücksichtigt weder die 23 im Jahr 2025 gemeldeten Anomalien noch die drei als schwerwiegend klassifizierten Vorfälle.</w:t>
      </w:r>
    </w:p>
    <w:p>
      <w:pPr>
        <w:pStyle w:val="ListBullet"/>
      </w:pPr>
      <w:r>
        <w:t>Nach den drei Incident-Reports aus 2025 (Unterklassifikation von Schlaganfall-Notrufen in zwei Kliniken sowie ein Systemausfall von 47 Minuten in Klinikum Freiburg-Süd) wurde das RMS nicht angepasst.</w:t>
      </w:r>
    </w:p>
    <w:p>
      <w:pPr>
        <w:pStyle w:val="ListBullet"/>
      </w:pPr>
      <w:r>
        <w:t>Es fehlt ein formelles Verfahren zur Aktualisierung des RMS bei sicherheitsrelevanten Ereignissen.</w:t>
      </w:r>
    </w:p>
    <w:p>
      <w:pPr>
        <w:jc w:val="left"/>
      </w:pPr>
      <w:r>
        <w:rPr>
          <w:b/>
        </w:rPr>
        <w:t>Rechtliche Einschätzung:</w:t>
      </w:r>
      <w:r>
        <w:t xml:space="preserve"> Verstoß gegen Art. 9 Abs. 1 KI-VO. Die Pflicht zur kontinuierlichen Pflege des RMS ist eindeutig verletzt.</w:t>
      </w:r>
    </w:p>
    <w:p>
      <w:pPr>
        <w:pStyle w:val="Heading3"/>
      </w:pPr>
      <w:r>
        <w:rPr>
          <w:rFonts w:ascii="Times New Roman" w:hAnsi="Times New Roman"/>
        </w:rPr>
        <w:t>3.2 Unvollständige Risikoidentifikation (Art. 9 Abs. 2 lit. a)</w:t>
      </w:r>
    </w:p>
    <w:p>
      <w:pPr>
        <w:jc w:val="left"/>
      </w:pPr>
      <w:r>
        <w:t>Die FMEA deckt nur das NLU-Modul ab. Das Dispositionsmodul (XGBoost-basiert) sowie das Audit-Trail-Modul wurden nicht separat analysiert. Insbesondere fehlt:</w:t>
      </w:r>
    </w:p>
    <w:p>
      <w:pPr>
        <w:pStyle w:val="ListBullet"/>
      </w:pPr>
      <w:r>
        <w:t>Analyse der Bias-Risiken (Geschlecht, Alter, ethnische Herkunft) für beide KI-Module</w:t>
      </w:r>
    </w:p>
    <w:p>
      <w:pPr>
        <w:pStyle w:val="ListBullet"/>
      </w:pPr>
      <w:r>
        <w:t>Analyse des Risikos durch Konzeptdrift (Trainingsdaten 2008–2022, Deployment 2023–2026)</w:t>
      </w:r>
    </w:p>
    <w:p>
      <w:pPr>
        <w:pStyle w:val="ListBullet"/>
      </w:pPr>
      <w:r>
        <w:t>Analyse der Kaskadeneffekte: Fehler des NLU-Moduls werden durch das Dispositionsmodul nicht korrigiert, sondern verstärkt</w:t>
      </w:r>
    </w:p>
    <w:p>
      <w:pPr>
        <w:pStyle w:val="Heading3"/>
      </w:pPr>
      <w:r>
        <w:rPr>
          <w:rFonts w:ascii="Times New Roman" w:hAnsi="Times New Roman"/>
        </w:rPr>
        <w:t>3.3 Fehlende Bewertung nach Schweregrad und Eintrittswahrscheinlichkeit (Art. 9 Abs. 2 lit. b)</w:t>
      </w:r>
    </w:p>
    <w:p>
      <w:pPr>
        <w:jc w:val="left"/>
      </w:pPr>
      <w:r>
        <w:t>MA-RISK-2024-01 enthält keine strukturierte Risikomatrix. Risiken werden qualitativ beschrieben, aber nicht quantitativ bewertet. Eine Priorisierung nach Schadensausmaß × Eintrittswahrscheinlichkeit fehlt vollständig.</w:t>
      </w:r>
    </w:p>
    <w:p>
      <w:pPr>
        <w:pStyle w:val="Heading3"/>
      </w:pPr>
      <w:r>
        <w:rPr>
          <w:rFonts w:ascii="Times New Roman" w:hAnsi="Times New Roman"/>
        </w:rPr>
        <w:t>3.4 Unvollständige Risikomanagementmaßnahmen (Art. 9 Abs. 2 lit. c)</w:t>
      </w:r>
    </w:p>
    <w:p>
      <w:pPr>
        <w:jc w:val="left"/>
      </w:pPr>
      <w:r>
        <w:t>Die drei schwerwiegenden Vorfälle aus 2025 haben keine dokumentierten Gegenmaßnahmen ausgelöst. RA Dr. Roosendaal hat CTO Krishnamurthy am 18.03.2026 schriftlich darauf hingewiesen, dass dies ein erhebliches Konformitätsdefizit darstellt.</w:t>
      </w:r>
    </w:p>
    <w:p>
      <w:pPr>
        <w:pStyle w:val="Heading3"/>
      </w:pPr>
      <w:r>
        <w:rPr>
          <w:rFonts w:ascii="Times New Roman" w:hAnsi="Times New Roman"/>
        </w:rPr>
        <w:t>3.5 Stand der Technik (Art. 9 Abs. 4)</w:t>
      </w:r>
    </w:p>
    <w:p>
      <w:pPr>
        <w:jc w:val="left"/>
      </w:pPr>
      <w:r>
        <w:t>Das RMS referenziert nicht den für medizinische KI-Systeme einschlägigen Stand der Technik:</w:t>
      </w:r>
    </w:p>
    <w:p>
      <w:pPr>
        <w:pStyle w:val="ListBullet"/>
      </w:pPr>
      <w:r>
        <w:t>ISO 14971:2019 (Risikomanagement Medizinprodukte) liegt zwar als MDR-Anforderung vor, wird aber nicht in das KI-VO-spezifische RMS integriert.</w:t>
      </w:r>
    </w:p>
    <w:p>
      <w:pPr>
        <w:pStyle w:val="ListBullet"/>
      </w:pPr>
      <w:r>
        <w:t>IEC 62304 (Software-Lebenszyklus Medizinprodukte) wird im RMS nicht erwähnt.</w:t>
      </w:r>
    </w:p>
    <w:p>
      <w:pPr>
        <w:pStyle w:val="ListBullet"/>
      </w:pPr>
      <w:r>
        <w:t>ENISA-Leitlinien zur KI-Sicherheit (2023) werden nicht berücksichtigt.</w:t>
      </w:r>
    </w:p>
    <w:p>
      <w:pPr>
        <w:pStyle w:val="Heading3"/>
      </w:pPr>
      <w:r>
        <w:rPr>
          <w:rFonts w:ascii="Times New Roman" w:hAnsi="Times New Roman"/>
        </w:rPr>
        <w:t>3.6 Positive Feststellungen</w:t>
      </w:r>
    </w:p>
    <w:p>
      <w:pPr>
        <w:pStyle w:val="ListBullet"/>
      </w:pPr>
      <w:r>
        <w:t>Testbericht MA-EVAL-2024-03 enthält umfangreiche Leistungsdaten (Accuracy, Latenz), die als Grundlage für ein verbessertes RMS taugen.</w:t>
      </w:r>
    </w:p>
    <w:p>
      <w:pPr>
        <w:pStyle w:val="ListBullet"/>
      </w:pPr>
      <w:r>
        <w:t>Incident-Log 2025 ist vorhanden und wird laufend geführt; der Logging-Mechanismus als solcher funktioniert.</w:t>
      </w:r>
    </w:p>
    <w:p/>
    <w:p>
      <w:pPr>
        <w:pStyle w:val="Heading2"/>
      </w:pPr>
      <w:r>
        <w:rPr>
          <w:rFonts w:ascii="Times New Roman" w:hAnsi="Times New Roman"/>
        </w:rPr>
        <w:t>4. Handlungsempfehlungen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Vollständige Aktualisierung RMS unter Einbeziehung aller Vorfälle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Erweiterung FMEA auf Dispositionsmodul und ATM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Einführung quantitativer Risikomatrix (Schadensausmaß × Eintrittswahrscheinlichkeit)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Integration ISO 14971 in KI-VO-RMS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Roosendaal (Koordination)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Dokumentierte Gegenmaßnahmen für 3 schwerwiegende Vorfälle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Formelles RMS-Update-Verfahren einführen (Change Control)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Gesamtbewertung Art. 9</w:t>
      </w:r>
    </w:p>
    <w:p>
      <w:pPr>
        <w:jc w:val="left"/>
      </w:pPr>
      <w:r>
        <w:rPr>
          <w:b/>
        </w:rPr>
        <w:t>Art. 9 KI-VO: Nicht konform.</w:t>
      </w:r>
    </w:p>
    <w:p>
      <w:pPr>
        <w:jc w:val="left"/>
      </w:pPr>
      <w:r>
        <w:t>Schwerwiegende Defizite in Kontinuität, Vollständigkeit und Dokumentation. Kritisches Risiko für Fristwahrung 02.08.2026. Sofortmaßnahmen erforderlich.</w:t>
      </w:r>
    </w:p>
    <w:p/>
    <w:p>
      <w:pPr>
        <w:jc w:val="left"/>
      </w:pPr>
      <w:r>
        <w:rPr>
          <w:i/>
        </w:rPr>
        <w:t>Heidelberg, 18.03.2026</w:t>
      </w:r>
    </w:p>
    <w:p>
      <w:pPr>
        <w:jc w:val="left"/>
      </w:pPr>
      <w:r>
        <w:rPr>
          <w:i/>
        </w:rPr>
        <w:t>RA Dr. Mark Roosendaal — Az. 2026-V-0427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